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9085" w14:textId="77777777" w:rsidR="00BA1D2A" w:rsidRPr="00BA1D2A" w:rsidRDefault="00BA1D2A" w:rsidP="00CD7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2A">
        <w:rPr>
          <w:rFonts w:ascii="Times New Roman" w:hAnsi="Times New Roman" w:cs="Times New Roman"/>
          <w:b/>
          <w:sz w:val="28"/>
          <w:szCs w:val="28"/>
        </w:rPr>
        <w:t>АНОТАЦІЯ ВИБІРКОВОЇ НАВЧАЛЬНОЇ ДИСЦИПЛІНИ</w:t>
      </w:r>
    </w:p>
    <w:p w14:paraId="49AD377A" w14:textId="77777777" w:rsidR="00BA1D2A" w:rsidRPr="00BA1D2A" w:rsidRDefault="00BA1D2A" w:rsidP="00CD71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2A">
        <w:rPr>
          <w:rFonts w:ascii="Times New Roman" w:hAnsi="Times New Roman" w:cs="Times New Roman"/>
          <w:b/>
          <w:sz w:val="28"/>
          <w:szCs w:val="28"/>
        </w:rPr>
        <w:t>«МЕДИЧНЕ ПРАВО»</w:t>
      </w:r>
    </w:p>
    <w:tbl>
      <w:tblPr>
        <w:tblpPr w:leftFromText="180" w:rightFromText="180" w:vertAnchor="text" w:horzAnchor="margin" w:tblpXSpec="center" w:tblpY="417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2061"/>
        <w:gridCol w:w="1487"/>
        <w:gridCol w:w="1442"/>
        <w:gridCol w:w="1492"/>
        <w:gridCol w:w="1451"/>
      </w:tblGrid>
      <w:tr w:rsidR="00BA1D2A" w:rsidRPr="00BA1D2A" w14:paraId="6E1D3824" w14:textId="77777777" w:rsidTr="00CD7113">
        <w:trPr>
          <w:trHeight w:val="612"/>
        </w:trPr>
        <w:tc>
          <w:tcPr>
            <w:tcW w:w="2238" w:type="dxa"/>
          </w:tcPr>
          <w:p w14:paraId="15361239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5665D272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1B475308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87" w:type="dxa"/>
          </w:tcPr>
          <w:p w14:paraId="1A4917CD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0122C84D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2E6AE79F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2" w:type="dxa"/>
          </w:tcPr>
          <w:p w14:paraId="56449AB3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20EFA580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24ACE0D7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</w:tcPr>
          <w:p w14:paraId="173A5A92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34B14AF0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451" w:type="dxa"/>
          </w:tcPr>
          <w:p w14:paraId="10949FFF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30CAC611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BA1D2A" w:rsidRPr="00BA1D2A" w14:paraId="244C9717" w14:textId="77777777" w:rsidTr="00CD7113">
        <w:trPr>
          <w:trHeight w:val="1344"/>
        </w:trPr>
        <w:tc>
          <w:tcPr>
            <w:tcW w:w="2238" w:type="dxa"/>
            <w:vMerge w:val="restart"/>
          </w:tcPr>
          <w:p w14:paraId="71FF9F3B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768C98D6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0AD03412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706A406C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87" w:type="dxa"/>
          </w:tcPr>
          <w:p w14:paraId="37365DAE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2" w:type="dxa"/>
          </w:tcPr>
          <w:p w14:paraId="3BB4AC29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2" w:type="dxa"/>
          </w:tcPr>
          <w:p w14:paraId="1D3D7378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51" w:type="dxa"/>
          </w:tcPr>
          <w:p w14:paraId="59837C83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BA1D2A" w:rsidRPr="00BA1D2A" w14:paraId="0ED1483B" w14:textId="77777777" w:rsidTr="00CD7113">
        <w:trPr>
          <w:trHeight w:val="1872"/>
        </w:trPr>
        <w:tc>
          <w:tcPr>
            <w:tcW w:w="2238" w:type="dxa"/>
            <w:vMerge/>
          </w:tcPr>
          <w:p w14:paraId="294D1D9B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0E758B65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14:paraId="4E714B20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2" w:type="dxa"/>
          </w:tcPr>
          <w:p w14:paraId="6B5BF59F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2" w:type="dxa"/>
          </w:tcPr>
          <w:p w14:paraId="41EABD49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51" w:type="dxa"/>
          </w:tcPr>
          <w:p w14:paraId="656C8258" w14:textId="77777777" w:rsidR="00BA1D2A" w:rsidRPr="00BA1D2A" w:rsidRDefault="00BA1D2A" w:rsidP="00BA1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03DE04F4" w14:textId="77777777" w:rsidR="00BA1D2A" w:rsidRPr="00BA1D2A" w:rsidRDefault="00BA1D2A" w:rsidP="00BA1D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812"/>
      </w:tblGrid>
      <w:tr w:rsidR="00BA1D2A" w:rsidRPr="00BA1D2A" w14:paraId="579E2789" w14:textId="77777777" w:rsidTr="00CD7113">
        <w:trPr>
          <w:trHeight w:val="672"/>
        </w:trPr>
        <w:tc>
          <w:tcPr>
            <w:tcW w:w="4395" w:type="dxa"/>
          </w:tcPr>
          <w:p w14:paraId="7770C29A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5812" w:type="dxa"/>
          </w:tcPr>
          <w:p w14:paraId="3BE69677" w14:textId="77777777" w:rsidR="00BA1D2A" w:rsidRPr="00BA1D2A" w:rsidRDefault="00BA1D2A" w:rsidP="00CD71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Павловська Леся Володимирівна, </w:t>
            </w:r>
          </w:p>
          <w:p w14:paraId="18272B46" w14:textId="77777777" w:rsidR="00BA1D2A" w:rsidRPr="00BA1D2A" w:rsidRDefault="00BA1D2A" w:rsidP="00CD71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14:paraId="31B3E051" w14:textId="77777777" w:rsidR="00BA1D2A" w:rsidRPr="00BA1D2A" w:rsidRDefault="00BA1D2A" w:rsidP="00CD71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CB14CA1" w14:textId="77777777" w:rsidR="00BA1D2A" w:rsidRPr="00BA1D2A" w:rsidRDefault="00BA1D2A" w:rsidP="00CD7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. 214</w:t>
            </w:r>
          </w:p>
          <w:p w14:paraId="18D5A817" w14:textId="77777777" w:rsidR="00BA1D2A" w:rsidRPr="00BA1D2A" w:rsidRDefault="00BA1D2A" w:rsidP="00CD71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D2A" w:rsidRPr="00BA1D2A" w14:paraId="4D9737BA" w14:textId="77777777" w:rsidTr="00CD7113">
        <w:trPr>
          <w:trHeight w:val="648"/>
        </w:trPr>
        <w:tc>
          <w:tcPr>
            <w:tcW w:w="4395" w:type="dxa"/>
          </w:tcPr>
          <w:p w14:paraId="695FA0E9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5812" w:type="dxa"/>
          </w:tcPr>
          <w:p w14:paraId="14AD0B4D" w14:textId="77777777" w:rsidR="00BA1D2A" w:rsidRPr="00BA1D2A" w:rsidRDefault="00BA1D2A" w:rsidP="00CD71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«Медичне право» є вибірковою навчальною дисципліною, внаслідок вивчення якої здобувачі освіти отримають знання законодавчих положень у сфері надання медичної допомоги, медичних послуг та медичного обслуговування, забезпечення реалізації прав особи у сфері охорони здоров'я </w:t>
            </w:r>
            <w:r w:rsidRPr="00BA1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розуміння особливостей окремих видів медичної діяльності.</w:t>
            </w:r>
          </w:p>
        </w:tc>
      </w:tr>
      <w:tr w:rsidR="00BA1D2A" w:rsidRPr="00BA1D2A" w14:paraId="4747437C" w14:textId="77777777" w:rsidTr="00CD7113">
        <w:trPr>
          <w:trHeight w:val="504"/>
        </w:trPr>
        <w:tc>
          <w:tcPr>
            <w:tcW w:w="4395" w:type="dxa"/>
          </w:tcPr>
          <w:p w14:paraId="3D41C199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5812" w:type="dxa"/>
          </w:tcPr>
          <w:p w14:paraId="1EACDB0F" w14:textId="77777777" w:rsidR="00BA1D2A" w:rsidRPr="00BA1D2A" w:rsidRDefault="00BA1D2A" w:rsidP="00CD71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«Медичне право» є комплексна підготовка правників з метою формування теоретичних знань та практичних навиків правозастосування для забезпечення функціонування медичних закладів, провадження медичної практики та дотримання прав людини у сфері охорони здоров’я. </w:t>
            </w:r>
          </w:p>
          <w:p w14:paraId="685C8512" w14:textId="77777777" w:rsidR="00BA1D2A" w:rsidRPr="00BA1D2A" w:rsidRDefault="00BA1D2A" w:rsidP="00CD71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4069ED57" w14:textId="77777777" w:rsidR="00BA1D2A" w:rsidRPr="00BA1D2A" w:rsidRDefault="00BA1D2A" w:rsidP="00CD711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ознайомлення із міжнародно-правовими стандартами в галузі прав людини та охорони здоров’я;</w:t>
            </w:r>
          </w:p>
          <w:p w14:paraId="3AC2E85D" w14:textId="77777777" w:rsidR="00BA1D2A" w:rsidRPr="00BA1D2A" w:rsidRDefault="00BA1D2A" w:rsidP="00CD711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опанування фундаментальних понять сфери охорони здоров’я, у тому числі надання медичної допомоги та медичних послуг</w:t>
            </w:r>
          </w:p>
          <w:p w14:paraId="625915BE" w14:textId="77777777" w:rsidR="00BA1D2A" w:rsidRPr="00BA1D2A" w:rsidRDefault="00BA1D2A" w:rsidP="00CD711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засвоєння основних способів і засобів захисту прав суб’єктів медичних правовідносин;</w:t>
            </w:r>
          </w:p>
          <w:p w14:paraId="0EA411B0" w14:textId="77777777" w:rsidR="00BA1D2A" w:rsidRPr="00BA1D2A" w:rsidRDefault="00BA1D2A" w:rsidP="00CD711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аналіз правових умов і підстав здійснення окремих видів медичної діяльності</w:t>
            </w:r>
          </w:p>
        </w:tc>
      </w:tr>
      <w:tr w:rsidR="00BA1D2A" w:rsidRPr="00BA1D2A" w14:paraId="7B7B25FB" w14:textId="77777777" w:rsidTr="00CD7113">
        <w:trPr>
          <w:trHeight w:val="300"/>
        </w:trPr>
        <w:tc>
          <w:tcPr>
            <w:tcW w:w="4395" w:type="dxa"/>
          </w:tcPr>
          <w:p w14:paraId="13F4CEE1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5812" w:type="dxa"/>
          </w:tcPr>
          <w:p w14:paraId="31B1579E" w14:textId="77777777" w:rsidR="00BA1D2A" w:rsidRPr="00BA1D2A" w:rsidRDefault="00BA1D2A" w:rsidP="00CD711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BA1D2A" w:rsidRPr="00BA1D2A" w14:paraId="12F64BB6" w14:textId="77777777" w:rsidTr="00CD7113">
        <w:trPr>
          <w:trHeight w:val="432"/>
        </w:trPr>
        <w:tc>
          <w:tcPr>
            <w:tcW w:w="4395" w:type="dxa"/>
          </w:tcPr>
          <w:p w14:paraId="3E6D095E" w14:textId="77777777" w:rsidR="00BA1D2A" w:rsidRPr="00BA1D2A" w:rsidRDefault="00BA1D2A" w:rsidP="00BA1D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5812" w:type="dxa"/>
          </w:tcPr>
          <w:p w14:paraId="780D264C" w14:textId="77777777" w:rsidR="00BA1D2A" w:rsidRPr="00BA1D2A" w:rsidRDefault="00BA1D2A" w:rsidP="00CD71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міжнародно-правові стандарти в галузі прав людини та охорони здоров’я; чинне законодавство України про охорону здоров’я, у тому числі </w:t>
            </w:r>
            <w:proofErr w:type="spellStart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біоетичне</w:t>
            </w:r>
            <w:proofErr w:type="spellEnd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; тенденції </w:t>
            </w:r>
            <w:proofErr w:type="spellStart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нормотворення</w:t>
            </w:r>
            <w:proofErr w:type="spellEnd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 й державної політики у сфері охорони здоров’я; </w:t>
            </w:r>
            <w:proofErr w:type="spellStart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понятійно</w:t>
            </w:r>
            <w:proofErr w:type="spellEnd"/>
            <w:r w:rsidRPr="00BA1D2A">
              <w:rPr>
                <w:rFonts w:ascii="Times New Roman" w:hAnsi="Times New Roman" w:cs="Times New Roman"/>
                <w:sz w:val="28"/>
                <w:szCs w:val="28"/>
              </w:rPr>
              <w:t>-категоріальний апарат у галузі медичного права; рівні соціального регулювання медичної діяльності; права й обов’язки суб’єктів медичних правовідносин; механізми й процедури захисту прав людини у сфері охорони здоров’я; види й підстави юридичної відповідальності у сфері охорони здоров’я; правові умови провадження окремих видів медичної діяльності.</w:t>
            </w:r>
          </w:p>
          <w:p w14:paraId="01F4448B" w14:textId="57BBCD17" w:rsidR="00BA1D2A" w:rsidRPr="00BA1D2A" w:rsidRDefault="00BA1D2A" w:rsidP="00CD71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D2A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самостійно працювати із законодавством України та міжнародними стандартами у сфері охорони здоров’я; аналізувати правову природу прав людини у сфері охорони здоров’я; </w:t>
            </w:r>
            <w:r w:rsidRPr="00BA1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застосовувати юридичну практику для правозахисної і правозастосовної діяльності, використовувати юрисдикційні й неюрисдикційні форми захисту прав людини у сфері охорони здоров’я; правильно кваліфікувати наслідки професійної діяльності медичних і фармацевтичних працівників та давати їм належну юридичну оцінку.</w:t>
            </w:r>
          </w:p>
        </w:tc>
      </w:tr>
    </w:tbl>
    <w:p w14:paraId="603FA597" w14:textId="77777777" w:rsidR="00BA1D2A" w:rsidRPr="00BA1D2A" w:rsidRDefault="00BA1D2A">
      <w:pPr>
        <w:rPr>
          <w:rFonts w:ascii="Times New Roman" w:hAnsi="Times New Roman" w:cs="Times New Roman"/>
          <w:sz w:val="28"/>
          <w:szCs w:val="28"/>
        </w:rPr>
      </w:pPr>
    </w:p>
    <w:sectPr w:rsidR="00BA1D2A" w:rsidRPr="00BA1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61"/>
    <w:rsid w:val="00237161"/>
    <w:rsid w:val="0071196C"/>
    <w:rsid w:val="00AB44A7"/>
    <w:rsid w:val="00BA1D2A"/>
    <w:rsid w:val="00C870FD"/>
    <w:rsid w:val="00CD1A32"/>
    <w:rsid w:val="00C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3DF6"/>
  <w15:chartTrackingRefBased/>
  <w15:docId w15:val="{309AAC38-5E3D-4EF8-9B69-BBC89A32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5EFAD-3C44-434B-83B8-0E7231BC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1950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Павловська</dc:creator>
  <cp:keywords/>
  <dc:description/>
  <cp:lastModifiedBy>admin</cp:lastModifiedBy>
  <cp:revision>5</cp:revision>
  <dcterms:created xsi:type="dcterms:W3CDTF">2025-03-27T10:14:00Z</dcterms:created>
  <dcterms:modified xsi:type="dcterms:W3CDTF">2025-03-31T07:15:00Z</dcterms:modified>
</cp:coreProperties>
</file>