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26108" w14:textId="77777777" w:rsidR="005C2D0B" w:rsidRPr="005C2D0B" w:rsidRDefault="005C2D0B" w:rsidP="005C2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0B">
        <w:rPr>
          <w:rFonts w:ascii="Times New Roman" w:hAnsi="Times New Roman" w:cs="Times New Roman"/>
          <w:b/>
          <w:sz w:val="28"/>
          <w:szCs w:val="28"/>
        </w:rPr>
        <w:t>АНОТАЦІЯ ВИБІРКОВОЇ НАВЧАЛЬНОЇ ДИСЦИПЛІНИ</w:t>
      </w:r>
    </w:p>
    <w:p w14:paraId="06D1434E" w14:textId="6E25EA33" w:rsidR="005C2D0B" w:rsidRPr="005C2D0B" w:rsidRDefault="005C2D0B" w:rsidP="005C2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D0B">
        <w:rPr>
          <w:rFonts w:ascii="Times New Roman" w:hAnsi="Times New Roman" w:cs="Times New Roman"/>
          <w:b/>
          <w:sz w:val="28"/>
          <w:szCs w:val="28"/>
        </w:rPr>
        <w:t>«</w:t>
      </w:r>
      <w:r w:rsidRPr="001C628E">
        <w:rPr>
          <w:rFonts w:ascii="Times New Roman" w:hAnsi="Times New Roman" w:cs="Times New Roman"/>
          <w:b/>
          <w:sz w:val="28"/>
          <w:szCs w:val="28"/>
        </w:rPr>
        <w:t>ОХОРОНА ПРАЦІ</w:t>
      </w:r>
      <w:r w:rsidRPr="005C2D0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061"/>
        <w:gridCol w:w="1487"/>
        <w:gridCol w:w="1442"/>
        <w:gridCol w:w="1492"/>
        <w:gridCol w:w="1451"/>
      </w:tblGrid>
      <w:tr w:rsidR="005C2D0B" w:rsidRPr="005C2D0B" w14:paraId="7B223369" w14:textId="77777777" w:rsidTr="00AF3B2F">
        <w:trPr>
          <w:trHeight w:val="612"/>
        </w:trPr>
        <w:tc>
          <w:tcPr>
            <w:tcW w:w="2421" w:type="dxa"/>
          </w:tcPr>
          <w:p w14:paraId="250FC12F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872E43D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1AAAF2E5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2B3502E6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2BBD04E0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0D70DE9E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3E1913B0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3151AEE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3BB70E0E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78A2F0A5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1DF6E7AC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4228388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5B1CCE46" w14:textId="77777777" w:rsidR="005C2D0B" w:rsidRPr="005C2D0B" w:rsidRDefault="005C2D0B" w:rsidP="005C2D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5C2D0B" w:rsidRPr="005C2D0B" w14:paraId="4614503E" w14:textId="77777777" w:rsidTr="00AF3B2F">
        <w:trPr>
          <w:trHeight w:val="1344"/>
        </w:trPr>
        <w:tc>
          <w:tcPr>
            <w:tcW w:w="2421" w:type="dxa"/>
            <w:vMerge w:val="restart"/>
          </w:tcPr>
          <w:p w14:paraId="6A1B3722" w14:textId="77777777" w:rsidR="005C2D0B" w:rsidRPr="005C2D0B" w:rsidRDefault="005C2D0B" w:rsidP="00321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4A17034A" w14:textId="787F4E88" w:rsidR="005C2D0B" w:rsidRPr="005C2D0B" w:rsidRDefault="00321DA4" w:rsidP="00321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C2D0B" w:rsidRPr="005C2D0B">
              <w:rPr>
                <w:rFonts w:ascii="Times New Roman" w:hAnsi="Times New Roman" w:cs="Times New Roman"/>
                <w:sz w:val="28"/>
                <w:szCs w:val="28"/>
              </w:rPr>
              <w:t>ерший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D0B" w:rsidRPr="005C2D0B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C2D0B" w:rsidRPr="005C2D0B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6FE5F836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647010A6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3A3B92D6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91" w:type="dxa"/>
          </w:tcPr>
          <w:p w14:paraId="1A7CF01D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5C2D0B" w:rsidRPr="005C2D0B" w14:paraId="05BF084D" w14:textId="77777777" w:rsidTr="00AF3B2F">
        <w:trPr>
          <w:trHeight w:val="1872"/>
        </w:trPr>
        <w:tc>
          <w:tcPr>
            <w:tcW w:w="2421" w:type="dxa"/>
            <w:vMerge/>
          </w:tcPr>
          <w:p w14:paraId="14572DD9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6F8690B5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186A5669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4281A7ED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03140844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391" w:type="dxa"/>
          </w:tcPr>
          <w:p w14:paraId="328DD206" w14:textId="77777777" w:rsidR="005C2D0B" w:rsidRPr="005C2D0B" w:rsidRDefault="005C2D0B" w:rsidP="005C2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0CAE2D78" w14:textId="77777777" w:rsidR="005C2D0B" w:rsidRPr="005C2D0B" w:rsidRDefault="005C2D0B" w:rsidP="005C2D0B">
      <w:pPr>
        <w:rPr>
          <w:rFonts w:ascii="Times New Roman" w:hAnsi="Times New Roman" w:cs="Times New Roman"/>
          <w:sz w:val="28"/>
          <w:szCs w:val="28"/>
        </w:rPr>
      </w:pPr>
    </w:p>
    <w:p w14:paraId="1113109D" w14:textId="77777777" w:rsidR="005C2D0B" w:rsidRPr="005C2D0B" w:rsidRDefault="005C2D0B" w:rsidP="005C2D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5C2D0B" w:rsidRPr="005C2D0B" w14:paraId="79B03253" w14:textId="77777777" w:rsidTr="00AF3B2F">
        <w:trPr>
          <w:trHeight w:val="672"/>
        </w:trPr>
        <w:tc>
          <w:tcPr>
            <w:tcW w:w="4075" w:type="dxa"/>
          </w:tcPr>
          <w:p w14:paraId="23711D78" w14:textId="77777777" w:rsidR="005C2D0B" w:rsidRPr="005C2D0B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4584548B" w14:textId="77777777" w:rsidR="005C2D0B" w:rsidRPr="005C2D0B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Павловська Леся Володимирівна, </w:t>
            </w:r>
          </w:p>
          <w:p w14:paraId="00AC2B12" w14:textId="77777777" w:rsidR="005C2D0B" w:rsidRPr="005C2D0B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14:paraId="67FD0B75" w14:textId="77777777" w:rsidR="005C2D0B" w:rsidRPr="005C2D0B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71AD7100" w14:textId="77777777" w:rsidR="005C2D0B" w:rsidRPr="005C2D0B" w:rsidRDefault="005C2D0B" w:rsidP="00321D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. 214</w:t>
            </w:r>
          </w:p>
          <w:p w14:paraId="25D50F14" w14:textId="77777777" w:rsidR="005C2D0B" w:rsidRPr="005C2D0B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D0B" w:rsidRPr="005C2D0B" w14:paraId="01CECA32" w14:textId="77777777" w:rsidTr="00AF3B2F">
        <w:trPr>
          <w:trHeight w:val="648"/>
        </w:trPr>
        <w:tc>
          <w:tcPr>
            <w:tcW w:w="4075" w:type="dxa"/>
          </w:tcPr>
          <w:p w14:paraId="7787A5F7" w14:textId="77777777" w:rsidR="005C2D0B" w:rsidRPr="005D65D6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9F6F2D6" w14:textId="3F18D086" w:rsidR="005C2D0B" w:rsidRPr="005C2D0B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>Охорона праці</w:t>
            </w: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» є вибірковою навчальною дисципліною, внаслідок вивчення якої здобувачі освіти отримають знання законодавчих положень у сфері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>охорони праці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 xml:space="preserve">, а також вміння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>ефективно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діяльн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ість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з обов'язковим  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>рахуванням  вимог охорони  праці  та  гарантуванням  збереження  життя,  здоров'я та працездатності працівників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D0B" w:rsidRPr="005C2D0B" w14:paraId="3C9B9A37" w14:textId="77777777" w:rsidTr="00AF3B2F">
        <w:trPr>
          <w:trHeight w:val="504"/>
        </w:trPr>
        <w:tc>
          <w:tcPr>
            <w:tcW w:w="4075" w:type="dxa"/>
          </w:tcPr>
          <w:p w14:paraId="752F9A75" w14:textId="77777777" w:rsidR="005C2D0B" w:rsidRPr="005D65D6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E45607C" w14:textId="5DA341E5" w:rsidR="005C2D0B" w:rsidRPr="005C2D0B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0B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>Охорона праці</w:t>
            </w:r>
            <w:r w:rsidRPr="005C2D0B">
              <w:rPr>
                <w:rFonts w:ascii="Times New Roman" w:hAnsi="Times New Roman" w:cs="Times New Roman"/>
                <w:sz w:val="28"/>
                <w:szCs w:val="28"/>
              </w:rPr>
              <w:t xml:space="preserve">» є 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основних засад правового регулювання охорони праці та забезпечення засвоєння студентами основних положень щодо реалізації права особи на охорону праці, оволодіння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практичними 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навичками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права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особи на </w:t>
            </w:r>
            <w:r w:rsidRPr="001C628E">
              <w:rPr>
                <w:rFonts w:ascii="Times New Roman" w:hAnsi="Times New Roman" w:cs="Times New Roman"/>
                <w:sz w:val="28"/>
                <w:szCs w:val="28"/>
              </w:rPr>
              <w:t>безпечні та нешкідливі умови праці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>формування    у</w:t>
            </w:r>
            <w:r w:rsidR="00D81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>студентів відповідальності  за особисту та колективну безпеку і усвідомлення необхідності обов'язкового виконання в повному обсязі всіх заходів гарантування безпеки праці на робоч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1C628E" w:rsidRPr="001C628E">
              <w:rPr>
                <w:rFonts w:ascii="Times New Roman" w:hAnsi="Times New Roman" w:cs="Times New Roman"/>
                <w:sz w:val="28"/>
                <w:szCs w:val="28"/>
              </w:rPr>
              <w:t xml:space="preserve"> місц</w:t>
            </w:r>
            <w:r w:rsidR="001C628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14:paraId="069347B2" w14:textId="77777777" w:rsidR="005C2D0B" w:rsidRPr="00A4331E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79F206C7" w14:textId="6DDFDA5D" w:rsidR="00D812CE" w:rsidRPr="00A4331E" w:rsidRDefault="00D812CE" w:rsidP="00321DA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засвоєння студентами </w:t>
            </w:r>
            <w:r w:rsidR="002B0BF9"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основних понять 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>з охорони праці та застосування їх на практиці</w:t>
            </w:r>
          </w:p>
          <w:p w14:paraId="6AB6ACDD" w14:textId="3E19576D" w:rsidR="00D812CE" w:rsidRPr="00A4331E" w:rsidRDefault="00D812CE" w:rsidP="00321DA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набуття необхідних знань та навичок </w:t>
            </w:r>
            <w:r w:rsidR="00A4331E"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в сфері охорони праці на підприємстві, установі та організації, 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профілактики негативного впливу шкідливих виробничих чинників у роботі </w:t>
            </w:r>
          </w:p>
          <w:p w14:paraId="5CE44799" w14:textId="221DD143" w:rsidR="005C2D0B" w:rsidRPr="005C2D0B" w:rsidRDefault="00A4331E" w:rsidP="00321DA4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</w:pP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порядком </w:t>
            </w:r>
            <w:r w:rsidR="00D812CE" w:rsidRPr="00A4331E">
              <w:rPr>
                <w:rFonts w:ascii="Times New Roman" w:hAnsi="Times New Roman" w:cs="Times New Roman"/>
                <w:sz w:val="28"/>
                <w:szCs w:val="28"/>
              </w:rPr>
              <w:t>розслідуванн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12CE"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 xml:space="preserve">нещасних випадків на виробництві, професійних захворювань в результаті </w:t>
            </w:r>
            <w:r w:rsidR="00D812CE" w:rsidRPr="00A4331E">
              <w:rPr>
                <w:rFonts w:ascii="Times New Roman" w:hAnsi="Times New Roman" w:cs="Times New Roman"/>
                <w:sz w:val="28"/>
                <w:szCs w:val="28"/>
              </w:rPr>
              <w:t>порушень правил з техніки безпеки та охорони праці</w:t>
            </w:r>
            <w:r w:rsidRPr="00A43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2D0B" w:rsidRPr="005C2D0B" w14:paraId="25A00CCD" w14:textId="77777777" w:rsidTr="00AF3B2F">
        <w:trPr>
          <w:trHeight w:val="300"/>
        </w:trPr>
        <w:tc>
          <w:tcPr>
            <w:tcW w:w="4075" w:type="dxa"/>
          </w:tcPr>
          <w:p w14:paraId="3877FD75" w14:textId="77777777" w:rsidR="005C2D0B" w:rsidRPr="005D65D6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6E43444C" w14:textId="77777777" w:rsidR="005C2D0B" w:rsidRPr="005D65D6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5C2D0B" w:rsidRPr="005C2D0B" w14:paraId="5DF404DA" w14:textId="77777777" w:rsidTr="00AF3B2F">
        <w:trPr>
          <w:trHeight w:val="432"/>
        </w:trPr>
        <w:tc>
          <w:tcPr>
            <w:tcW w:w="4075" w:type="dxa"/>
          </w:tcPr>
          <w:p w14:paraId="0817CB40" w14:textId="77777777" w:rsidR="005C2D0B" w:rsidRPr="005D65D6" w:rsidRDefault="005C2D0B" w:rsidP="00321DA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13EB9CC5" w14:textId="77777777" w:rsidR="00A4331E" w:rsidRPr="005D65D6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sz w:val="28"/>
                <w:szCs w:val="28"/>
              </w:rPr>
              <w:t>Після закінчення курсу здобувач повинен знати: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базовий понятійний апарат інституту охорона праці; теоретичні питання механізму правового забезпечення охорони праці, проблеми його реалізації; положення законодавства з питань охорони праці; механізми запобігання нещасним випадкам та професійним захворюванням та форми захисту учасниками трудових правовідносин права на належні, безпечні та здорові умови праці.</w:t>
            </w:r>
          </w:p>
          <w:p w14:paraId="5540C444" w14:textId="4E8D34CC" w:rsidR="005C2D0B" w:rsidRPr="005D65D6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аналізувати особливості юридичних гарантій різних категорій працівників у сфері охорони праці;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обґрунтувати специфіку основних джерел, в яких закріплюються окремі аспекти охорони праці;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обґрунтовувати та мотивувати правові рішення щодо забезпечення належних, безпечних та здорових умов праці, давати розгорнуту юридичну аргументацію з питань організації системи управління охороною праці на локальному рівні;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обґрунтовано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формулювати свою правову позицію щодо забезпечення працівникам гарантій права на охорону праці, вміти опонувати, оцінювати докази та наводити переконливі аргументи на захист прав працівників;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використовувати передові знання щодо правового забезпечення організації охорони праці на підприємствах, установах, організаціях та сприяння реалізації працівниками права на охорону праці, а також методики їх імплементації різними найбільш прийнятними способами у процесі право творення та правозастосування інституту охорони праці;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аналізувати та оцінювати практику застосування інституту охорони праці;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розв’язувати проблеми, пов’язані з захистом права працівників на охорону праці, у випадках, коли праця оформлена неналежним чином або не проведено атестації робочого місця, або неналежним чином було проведено розслідування нещасного випадку на виробництві;</w:t>
            </w:r>
            <w:r w:rsidR="005D65D6" w:rsidRPr="005D6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31E" w:rsidRPr="005D65D6">
              <w:rPr>
                <w:rFonts w:ascii="Times New Roman" w:hAnsi="Times New Roman" w:cs="Times New Roman"/>
                <w:sz w:val="28"/>
                <w:szCs w:val="28"/>
              </w:rPr>
              <w:t>інтегрувати необхідні знання щодо реалізації права на охорону праці, організації системи управління охороною праці та розв’язувати складні задачі захисту прав працівників на охорону праці у адвокатській та суддівській професійній діяльності.</w:t>
            </w:r>
          </w:p>
          <w:p w14:paraId="30B65552" w14:textId="77777777" w:rsidR="005C2D0B" w:rsidRPr="005D65D6" w:rsidRDefault="005C2D0B" w:rsidP="00321DA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B6340" w14:textId="77777777" w:rsidR="005C2D0B" w:rsidRPr="005C2D0B" w:rsidRDefault="005C2D0B" w:rsidP="00321DA4">
      <w:pPr>
        <w:spacing w:after="0" w:line="240" w:lineRule="auto"/>
        <w:ind w:firstLine="709"/>
      </w:pPr>
    </w:p>
    <w:p w14:paraId="6B4B42C6" w14:textId="77777777" w:rsidR="005C2D0B" w:rsidRPr="005C2D0B" w:rsidRDefault="005C2D0B" w:rsidP="00321DA4">
      <w:pPr>
        <w:spacing w:after="0" w:line="240" w:lineRule="auto"/>
        <w:ind w:firstLine="709"/>
      </w:pPr>
    </w:p>
    <w:p w14:paraId="30435E56" w14:textId="77777777" w:rsidR="003A6C9F" w:rsidRDefault="003A6C9F" w:rsidP="00321DA4">
      <w:pPr>
        <w:spacing w:after="0" w:line="240" w:lineRule="auto"/>
        <w:ind w:firstLine="709"/>
      </w:pPr>
    </w:p>
    <w:sectPr w:rsidR="003A6C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9F"/>
    <w:rsid w:val="001C628E"/>
    <w:rsid w:val="002B0BF9"/>
    <w:rsid w:val="00321DA4"/>
    <w:rsid w:val="003A6C9F"/>
    <w:rsid w:val="005C2D0B"/>
    <w:rsid w:val="005D65D6"/>
    <w:rsid w:val="0071196C"/>
    <w:rsid w:val="00A4331E"/>
    <w:rsid w:val="00AB44A7"/>
    <w:rsid w:val="00C870FD"/>
    <w:rsid w:val="00CD1A32"/>
    <w:rsid w:val="00D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EB0C"/>
  <w15:chartTrackingRefBased/>
  <w15:docId w15:val="{B0031A1B-729B-47C0-8981-70EDCB71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2662</Words>
  <Characters>1518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Павловська</dc:creator>
  <cp:keywords/>
  <dc:description/>
  <cp:lastModifiedBy>admin</cp:lastModifiedBy>
  <cp:revision>5</cp:revision>
  <dcterms:created xsi:type="dcterms:W3CDTF">2025-03-27T10:15:00Z</dcterms:created>
  <dcterms:modified xsi:type="dcterms:W3CDTF">2025-03-31T07:14:00Z</dcterms:modified>
</cp:coreProperties>
</file>