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84A48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41F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72EB6452" w:rsidR="000644D5" w:rsidRPr="00F3641F" w:rsidRDefault="000A3BBC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«СПАДКОВЕ ПРАВО</w:t>
      </w:r>
      <w:r w:rsidR="007E6245" w:rsidRPr="00F3641F">
        <w:rPr>
          <w:rFonts w:ascii="Times New Roman" w:hAnsi="Times New Roman" w:cs="Times New Roman"/>
          <w:b/>
          <w:sz w:val="28"/>
          <w:szCs w:val="28"/>
        </w:rPr>
        <w:t>»</w:t>
      </w:r>
    </w:p>
    <w:p w14:paraId="4B37404A" w14:textId="77777777" w:rsidR="007E6245" w:rsidRPr="00F3641F" w:rsidRDefault="007E6245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063D33" w:rsidRPr="007E6245" w14:paraId="6008C6C5" w14:textId="77777777" w:rsidTr="004E458D">
        <w:trPr>
          <w:trHeight w:val="612"/>
        </w:trPr>
        <w:tc>
          <w:tcPr>
            <w:tcW w:w="2421" w:type="dxa"/>
          </w:tcPr>
          <w:p w14:paraId="4EBE48C3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74FA47D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40A3E01F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69D9E26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66CF346D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361B1D7A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4946B008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37DBED29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0B2617F6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F71F895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25A3927" w14:textId="77777777" w:rsidR="00063D33" w:rsidRPr="007E6245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3A4F82E2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175CD94B" w14:textId="77777777" w:rsidR="00063D33" w:rsidRPr="007E6245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063D33" w14:paraId="3884E6AA" w14:textId="77777777" w:rsidTr="004E458D">
        <w:trPr>
          <w:trHeight w:val="1344"/>
        </w:trPr>
        <w:tc>
          <w:tcPr>
            <w:tcW w:w="2421" w:type="dxa"/>
            <w:vMerge w:val="restart"/>
          </w:tcPr>
          <w:p w14:paraId="4BBE5A11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60922A98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6279030D" w14:textId="77777777" w:rsidR="00063D33" w:rsidRPr="00D4167A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776F0E6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90485F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0D94297A" w14:textId="4B9A9D68" w:rsidR="00063D33" w:rsidRDefault="00FC160D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0807F182" w14:textId="4E74B90C" w:rsidR="00063D33" w:rsidRDefault="00FC160D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14:paraId="33C8C6F1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063D33" w14:paraId="31AE362C" w14:textId="77777777" w:rsidTr="004E458D">
        <w:trPr>
          <w:trHeight w:val="1872"/>
        </w:trPr>
        <w:tc>
          <w:tcPr>
            <w:tcW w:w="2421" w:type="dxa"/>
            <w:vMerge/>
          </w:tcPr>
          <w:p w14:paraId="5D91DCCD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3FD08488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3D792A00" w14:textId="77777777" w:rsidR="00063D33" w:rsidRDefault="00063D33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6C4D1E9C" w14:textId="537CF061" w:rsidR="00063D33" w:rsidRDefault="00FC160D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</w:tcPr>
          <w:p w14:paraId="659C33FE" w14:textId="6055342C" w:rsidR="00063D33" w:rsidRDefault="00FC160D" w:rsidP="004E4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1391" w:type="dxa"/>
          </w:tcPr>
          <w:p w14:paraId="348371B7" w14:textId="77777777" w:rsidR="00063D33" w:rsidRDefault="00063D33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  <w:tr w:rsidR="008D1565" w14:paraId="077D723E" w14:textId="77777777" w:rsidTr="00B85D3E">
        <w:trPr>
          <w:trHeight w:val="629"/>
        </w:trPr>
        <w:tc>
          <w:tcPr>
            <w:tcW w:w="10308" w:type="dxa"/>
            <w:gridSpan w:val="6"/>
          </w:tcPr>
          <w:p w14:paraId="4C417DA1" w14:textId="77777777" w:rsidR="008D1565" w:rsidRPr="00D4167A" w:rsidRDefault="008D1565" w:rsidP="004E458D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A2DE0" w14:textId="77777777" w:rsidR="00D4167A" w:rsidRPr="00F3641F" w:rsidRDefault="00D4167A" w:rsidP="00CC1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:rsidRPr="00F3641F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46419630" w:rsidR="00D4167A" w:rsidRPr="00F3641F" w:rsidRDefault="00F3641F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Джуган Вікторія Олегівна</w:t>
            </w:r>
            <w:r w:rsidR="00D4167A"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39924D68" w:rsidR="00D4167A" w:rsidRPr="00F3641F" w:rsidRDefault="00F3641F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доцент кафедри цивільного та господарського права і процесу</w:t>
            </w:r>
            <w:r w:rsidR="00D4167A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ІФННЮІ Національного університету «Одеська юридична академія» </w:t>
            </w:r>
          </w:p>
          <w:p w14:paraId="65A08CB6" w14:textId="77777777" w:rsidR="00D4167A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5B4314D5" w14:textId="6A2472A1" w:rsidR="006A65FE" w:rsidRPr="00F3641F" w:rsidRDefault="00D4167A" w:rsidP="00BA5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Івано-Франківсь</w:t>
            </w:r>
            <w:r w:rsidR="00F3641F" w:rsidRPr="00F3641F">
              <w:rPr>
                <w:rFonts w:ascii="Times New Roman" w:hAnsi="Times New Roman" w:cs="Times New Roman"/>
                <w:sz w:val="28"/>
                <w:szCs w:val="28"/>
              </w:rPr>
              <w:t>к, вул. Максимовича, 13 каб. 215</w:t>
            </w:r>
          </w:p>
        </w:tc>
      </w:tr>
      <w:tr w:rsidR="00D4167A" w:rsidRPr="00F3641F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41D4B79F" w14:textId="77777777" w:rsidR="00DD37D9" w:rsidRDefault="000A3BBC" w:rsidP="00DD37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«Спадкове право</w:t>
            </w:r>
            <w:r w:rsidR="00F3641F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» є вибірковою компонентною дисципліною освітньої програми. Актуальність її вивчення в умовах сьогодення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пов’язана з тим, що інститут спадкування, незважаючи на свою консервативність, впродовж багатьох століть, </w:t>
            </w:r>
            <w:r w:rsidR="003C1128">
              <w:rPr>
                <w:rFonts w:ascii="Times New Roman" w:hAnsi="Times New Roman" w:cs="Times New Roman"/>
                <w:sz w:val="28"/>
                <w:szCs w:val="28"/>
              </w:rPr>
              <w:t xml:space="preserve">не втрачає свої позиції 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залишається невід’ємним та необхідним інститутом цивільного права. </w:t>
            </w:r>
            <w:r w:rsidR="003C1128">
              <w:rPr>
                <w:rFonts w:ascii="Times New Roman" w:hAnsi="Times New Roman" w:cs="Times New Roman"/>
                <w:sz w:val="28"/>
                <w:szCs w:val="28"/>
              </w:rPr>
              <w:t xml:space="preserve">Спадкове право є важливим та ключовим інструментом у механізмі захисту майнових прав особи, у регулюванні майнових відносин після її смерті та забезпечення стабільності у суспільстві. Значення спадкового права полягає у правовому регулювання відносин щодо переходу прав та обов’язків померлої особи </w:t>
            </w:r>
            <w:r w:rsidR="003C1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(спадкодавця) до інших осіб (спадкоємців), забезпечуючи, таким чином, правонаступництво поколінь, безперервність цивільного обороту, охорону права власності, цінність сімейних та родинних зв’язків, справедливість та сталість у суспільстві. Завдяки спадковому праву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>, з одного боку, кожній особі-спадкодавцю, на випадок смерті, гарантоване право вільного, на власний</w:t>
            </w:r>
            <w:r w:rsidRPr="003C1128">
              <w:rPr>
                <w:rFonts w:ascii="Times New Roman" w:hAnsi="Times New Roman" w:cs="Times New Roman"/>
                <w:sz w:val="28"/>
                <w:szCs w:val="28"/>
              </w:rPr>
              <w:t xml:space="preserve"> розсуд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1128">
              <w:rPr>
                <w:rFonts w:ascii="Times New Roman" w:hAnsi="Times New Roman" w:cs="Times New Roman"/>
                <w:sz w:val="28"/>
                <w:szCs w:val="28"/>
              </w:rPr>
              <w:t xml:space="preserve"> розпорядження власним майном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, а з іншого – норми спадкового права захищають і інтереси осіб-спадкоємців, </w:t>
            </w:r>
            <w:r w:rsidRPr="003C1128">
              <w:rPr>
                <w:rFonts w:ascii="Times New Roman" w:hAnsi="Times New Roman" w:cs="Times New Roman"/>
                <w:sz w:val="28"/>
                <w:szCs w:val="28"/>
              </w:rPr>
              <w:t>створюючи чіткий і прозорий механізм відкриття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C1128">
              <w:rPr>
                <w:rFonts w:ascii="Times New Roman" w:hAnsi="Times New Roman" w:cs="Times New Roman"/>
                <w:sz w:val="28"/>
                <w:szCs w:val="28"/>
              </w:rPr>
              <w:t xml:space="preserve"> прийнят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>тя спадщини, її охорони, поділу</w:t>
            </w:r>
            <w:r w:rsidRPr="003C1128">
              <w:rPr>
                <w:rFonts w:ascii="Times New Roman" w:hAnsi="Times New Roman" w:cs="Times New Roman"/>
                <w:sz w:val="28"/>
                <w:szCs w:val="28"/>
              </w:rPr>
              <w:t xml:space="preserve"> спадкового майна, оформлення спадкових прав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 чи відмови від них </w:t>
            </w:r>
            <w:r w:rsidRPr="003C1128">
              <w:rPr>
                <w:rFonts w:ascii="Times New Roman" w:hAnsi="Times New Roman" w:cs="Times New Roman"/>
                <w:sz w:val="28"/>
                <w:szCs w:val="28"/>
              </w:rPr>
              <w:t xml:space="preserve"> тощо.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58BE7C2" w14:textId="7D0FA6DC" w:rsidR="006A65FE" w:rsidRPr="00F3641F" w:rsidRDefault="00F3641F" w:rsidP="00DD37D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Вивчення даного курсу сприятиме формуванню умінь застосовувати та практиці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 теоретичні знання про механізм спадкування за законом і за заповітом</w:t>
            </w:r>
            <w:r w:rsidR="00DF39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при вирішенні практичних завдань в юридичній діяльності, а також набуття навичок застосування здобутих теоретичних знань у практичній діяльності, зокрема, при складанні 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>заповітів, спадкових договорів, процедурі відкриття спадщини, охорони спадкового майна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, а також при вирішенні спорів та конфліктних ситуацій, що виникають з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 спадкових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правові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>дносин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RPr="00F3641F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6639A3F3" w14:textId="2D426680" w:rsidR="00F3641F" w:rsidRPr="00F3641F" w:rsidRDefault="00F3641F" w:rsidP="00F3641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 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и полягає у формуванні</w:t>
            </w: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розуміння та оволодіння майбутніми фахівцями у галузі права сукупністю знань з особливостей правового регулювання 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спадкових правовідносин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DD37D9">
              <w:rPr>
                <w:rFonts w:ascii="Times New Roman" w:hAnsi="Times New Roman" w:cs="Times New Roman"/>
                <w:sz w:val="28"/>
                <w:szCs w:val="28"/>
              </w:rPr>
              <w:t xml:space="preserve">спадкування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за законом і за заповітом, відкриття та оформлення спадщини, а також щодо захисту прав і законних інтересів учасників спадкових відносин.</w:t>
            </w:r>
          </w:p>
          <w:p w14:paraId="6C8BA23F" w14:textId="77777777" w:rsidR="007B7758" w:rsidRPr="002908D6" w:rsidRDefault="007B7758" w:rsidP="007B775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3DB7EC3F" w14:textId="77777777" w:rsidR="00C97C8A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сформувати комплексне уявлення 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правове регулювання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спадкових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відносин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та їх роль і значення у механізмі цивільно-правового захисту прав особи;</w:t>
            </w:r>
          </w:p>
          <w:p w14:paraId="3DE04552" w14:textId="0B092339" w:rsid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акцентувати увагу здобувачів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особливостях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видів спадкування: за законом і за заповітом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898F9FA" w14:textId="4A32CD70" w:rsidR="00C97C8A" w:rsidRDefault="00C97C8A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вивчити особливості спадкування окремих видів майна;</w:t>
            </w:r>
          </w:p>
          <w:p w14:paraId="1A002CEA" w14:textId="1526A2BA" w:rsidR="00C97C8A" w:rsidRDefault="00C97C8A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зосередити увагу на порядку відкриття, прийняття чи відмови від спадщини та оформленні спадкових прав;</w:t>
            </w:r>
          </w:p>
          <w:p w14:paraId="54247E5B" w14:textId="73556D2D" w:rsidR="006A65FE" w:rsidRPr="007B7758" w:rsidRDefault="007B7758" w:rsidP="007B7758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 xml:space="preserve">акумулювати здобуті теоретичні знання для вирішення та розв’язання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кейсів/</w:t>
            </w:r>
            <w:r w:rsidRPr="007B7758">
              <w:rPr>
                <w:rFonts w:ascii="Times New Roman" w:hAnsi="Times New Roman" w:cs="Times New Roman"/>
                <w:sz w:val="28"/>
                <w:szCs w:val="28"/>
              </w:rPr>
              <w:t>спорі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>в/конфліктів, які виникають зі спадкових правовідносин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4167A" w:rsidRPr="00F3641F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0D70F2D" w:rsidR="00D4167A" w:rsidRPr="00F3641F" w:rsidRDefault="007B7758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D4167A" w:rsidRPr="00F3641F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F3641F" w:rsidRDefault="00D4167A" w:rsidP="00F3641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43D78E44" w14:textId="27625993" w:rsidR="00167E3B" w:rsidRDefault="002908D6" w:rsidP="00167E3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поняття та зміст базових категорій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спадкового права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; ос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>новні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спадкового права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7B7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предмет, метод, принципи і систему спадкового права; 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юридичну природу спадкових правовідносин;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місце і роль спадкових правовідносин у системі цивільних правовідносин; поняття і види суб’єктів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спадкового права; поняття і види спадкування; спадкування за законом; спадкування за заповітом; види заповітів; виконання заповіту; спадкування окремих видів майна; порядок відкриття спадщини; пор</w:t>
            </w:r>
            <w:r w:rsidR="00DF397C">
              <w:rPr>
                <w:rFonts w:ascii="Times New Roman" w:hAnsi="Times New Roman" w:cs="Times New Roman"/>
                <w:sz w:val="28"/>
                <w:szCs w:val="28"/>
              </w:rPr>
              <w:t>ядок прийняття спадщини; порядок відмови</w:t>
            </w:r>
            <w:r w:rsidR="00C97C8A">
              <w:rPr>
                <w:rFonts w:ascii="Times New Roman" w:hAnsi="Times New Roman" w:cs="Times New Roman"/>
                <w:sz w:val="28"/>
                <w:szCs w:val="28"/>
              </w:rPr>
              <w:t xml:space="preserve"> ві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д спадщини; </w:t>
            </w:r>
            <w:r w:rsidR="00DF397C">
              <w:rPr>
                <w:rFonts w:ascii="Times New Roman" w:hAnsi="Times New Roman" w:cs="Times New Roman"/>
                <w:sz w:val="28"/>
                <w:szCs w:val="28"/>
              </w:rPr>
              <w:t>визнання спадщини відумерлою;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 спадковий договір; правове регулювання спадкових відносин за законодавством зарубіжних держав. </w:t>
            </w:r>
          </w:p>
          <w:p w14:paraId="3B56BC4B" w14:textId="2E54DA04" w:rsidR="006A65FE" w:rsidRPr="00F3641F" w:rsidRDefault="002908D6" w:rsidP="00CC143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Крім того після закінчення курсу здобувач повинен вміти: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 xml:space="preserve">узагальнювати сучасні напрямки та тенденції правового регулювання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спадкових 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відносин щодо о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хорони цивільних прав</w:t>
            </w:r>
            <w:r w:rsidR="00063D33" w:rsidRPr="00063D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застосовувати норми чинного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спадкового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законодавства при розв’яза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нні конкретних практичних ситуацій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/кейсів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 xml:space="preserve"> розмежовувати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спадкування за законом і за заповітом; </w:t>
            </w:r>
            <w:r w:rsidR="00BA50F2">
              <w:rPr>
                <w:rFonts w:ascii="Times New Roman" w:hAnsi="Times New Roman" w:cs="Times New Roman"/>
                <w:sz w:val="28"/>
                <w:szCs w:val="28"/>
              </w:rPr>
              <w:t xml:space="preserve">розробляти алгоритм дій щодо порядку та процедури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відкриття спадщини; 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>давати юридичну кваліфікацію відносинам, що складаються у сфері спадкування; узагальнювати практику реалізації окремих норм спадк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7E3B" w:rsidRPr="00167E3B">
              <w:rPr>
                <w:rFonts w:ascii="Times New Roman" w:hAnsi="Times New Roman" w:cs="Times New Roman"/>
                <w:sz w:val="28"/>
                <w:szCs w:val="28"/>
              </w:rPr>
              <w:t>вого зак</w:t>
            </w:r>
            <w:r w:rsidR="00DF397C">
              <w:rPr>
                <w:rFonts w:ascii="Times New Roman" w:hAnsi="Times New Roman" w:cs="Times New Roman"/>
                <w:sz w:val="28"/>
                <w:szCs w:val="28"/>
              </w:rPr>
              <w:t>онодавства та робити відповідні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 висновки; </w:t>
            </w:r>
            <w:r w:rsidR="007B7758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складати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проекти доку</w:t>
            </w:r>
            <w:r w:rsidR="00DF397C">
              <w:rPr>
                <w:rFonts w:ascii="Times New Roman" w:hAnsi="Times New Roman" w:cs="Times New Roman"/>
                <w:sz w:val="28"/>
                <w:szCs w:val="28"/>
              </w:rPr>
              <w:t xml:space="preserve">ментів, які використовуються у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>спадкових відносин: спадковий договір, заповіт тощо; застосовувати норми цивільного, земельного, сімейного, госпо</w:t>
            </w:r>
            <w:r w:rsidR="00CC1438">
              <w:rPr>
                <w:rFonts w:ascii="Times New Roman" w:hAnsi="Times New Roman" w:cs="Times New Roman"/>
                <w:sz w:val="28"/>
                <w:szCs w:val="28"/>
              </w:rPr>
              <w:t xml:space="preserve">дарського законодавства для врегулювання спадкових правовідносин;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 xml:space="preserve">обґрунтовувати, систематизувати та презентувати результати власних досліджень під час участі у 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студентських наукових заходах (та інших заходах, у тому числі за участю представників </w:t>
            </w:r>
            <w:r w:rsidR="00167E3B">
              <w:rPr>
                <w:rFonts w:ascii="Times New Roman" w:hAnsi="Times New Roman" w:cs="Times New Roman"/>
                <w:sz w:val="28"/>
                <w:szCs w:val="28"/>
              </w:rPr>
              <w:t xml:space="preserve">органів нотаріату, </w:t>
            </w:r>
            <w:r w:rsidR="00063D33">
              <w:rPr>
                <w:rFonts w:ascii="Times New Roman" w:hAnsi="Times New Roman" w:cs="Times New Roman"/>
                <w:sz w:val="28"/>
                <w:szCs w:val="28"/>
              </w:rPr>
              <w:t>державних та місцевих органів влади і управління, громадських об’єднань тощо</w:t>
            </w:r>
            <w:r w:rsidR="00063D33" w:rsidRPr="00F364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14:paraId="66E439E8" w14:textId="77777777" w:rsidR="00D4167A" w:rsidRPr="00F3641F" w:rsidRDefault="00D4167A" w:rsidP="00F3641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F364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123E"/>
    <w:multiLevelType w:val="hybridMultilevel"/>
    <w:tmpl w:val="A0AC817E"/>
    <w:lvl w:ilvl="0" w:tplc="334C5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45"/>
    <w:rsid w:val="00063D33"/>
    <w:rsid w:val="000A3BBC"/>
    <w:rsid w:val="00167E3B"/>
    <w:rsid w:val="002908D6"/>
    <w:rsid w:val="002F3724"/>
    <w:rsid w:val="003C1128"/>
    <w:rsid w:val="006A65FE"/>
    <w:rsid w:val="007B132A"/>
    <w:rsid w:val="007B7758"/>
    <w:rsid w:val="007E6245"/>
    <w:rsid w:val="008D1565"/>
    <w:rsid w:val="00A6271B"/>
    <w:rsid w:val="00A71034"/>
    <w:rsid w:val="00BA50F2"/>
    <w:rsid w:val="00C97C8A"/>
    <w:rsid w:val="00CC1438"/>
    <w:rsid w:val="00D4167A"/>
    <w:rsid w:val="00DD37D9"/>
    <w:rsid w:val="00DD7D37"/>
    <w:rsid w:val="00DF397C"/>
    <w:rsid w:val="00F346EE"/>
    <w:rsid w:val="00F3641F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  <w:style w:type="table" w:styleId="a4">
    <w:name w:val="Table Grid"/>
    <w:basedOn w:val="a1"/>
    <w:uiPriority w:val="39"/>
    <w:rsid w:val="00F36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9FC18-3A12-482F-9733-ED6D51B6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3400</Words>
  <Characters>1939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2025-03-26T09:53:00Z</dcterms:created>
  <dcterms:modified xsi:type="dcterms:W3CDTF">2025-03-28T12:09:00Z</dcterms:modified>
</cp:coreProperties>
</file>