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4A48" w14:textId="77777777" w:rsidR="007E6245" w:rsidRPr="00F3641F" w:rsidRDefault="007E6245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1F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5A86ECC8" w:rsidR="000644D5" w:rsidRPr="00F3641F" w:rsidRDefault="00674F6F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«ПРАВО ЕКОЛОГІЧНОЇ БЕЗПЕКИ</w:t>
      </w:r>
      <w:r w:rsidR="007E6245" w:rsidRPr="00F3641F">
        <w:rPr>
          <w:rFonts w:ascii="Times New Roman" w:hAnsi="Times New Roman" w:cs="Times New Roman"/>
          <w:b/>
          <w:sz w:val="28"/>
          <w:szCs w:val="28"/>
        </w:rPr>
        <w:t>»</w:t>
      </w:r>
    </w:p>
    <w:p w14:paraId="4B37404A" w14:textId="77777777" w:rsidR="007E6245" w:rsidRPr="00F3641F" w:rsidRDefault="007E6245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063D33" w:rsidRPr="007E6245" w14:paraId="6008C6C5" w14:textId="77777777" w:rsidTr="004E458D">
        <w:trPr>
          <w:trHeight w:val="612"/>
        </w:trPr>
        <w:tc>
          <w:tcPr>
            <w:tcW w:w="2421" w:type="dxa"/>
          </w:tcPr>
          <w:p w14:paraId="4EBE48C3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74FA47DD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40A3E01F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69D9E265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66CF346D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361B1D7A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946B008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37DBED29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0B2617F6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F71F895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25A3927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3A4F82E2" w14:textId="77777777" w:rsidR="00063D33" w:rsidRPr="007E6245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175CD94B" w14:textId="77777777" w:rsidR="00063D33" w:rsidRPr="007E6245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063D33" w14:paraId="3884E6AA" w14:textId="77777777" w:rsidTr="004E458D">
        <w:trPr>
          <w:trHeight w:val="1344"/>
        </w:trPr>
        <w:tc>
          <w:tcPr>
            <w:tcW w:w="2421" w:type="dxa"/>
            <w:vMerge w:val="restart"/>
          </w:tcPr>
          <w:p w14:paraId="4BBE5A11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60922A98" w14:textId="77777777" w:rsidR="00063D33" w:rsidRPr="00D4167A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6279030D" w14:textId="77777777" w:rsidR="00063D33" w:rsidRPr="00D4167A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776F0E6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90485F8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0D94297A" w14:textId="313CAD3B" w:rsidR="00063D33" w:rsidRDefault="00F763B7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0807F182" w14:textId="453EE8CE" w:rsidR="00063D33" w:rsidRDefault="00F763B7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14:paraId="33C8C6F1" w14:textId="77777777" w:rsidR="00063D33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063D33" w14:paraId="31AE362C" w14:textId="77777777" w:rsidTr="004E458D">
        <w:trPr>
          <w:trHeight w:val="1872"/>
        </w:trPr>
        <w:tc>
          <w:tcPr>
            <w:tcW w:w="2421" w:type="dxa"/>
            <w:vMerge/>
          </w:tcPr>
          <w:p w14:paraId="5D91DCCD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3FD08488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3D792A00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6C4D1E9C" w14:textId="294FE33D" w:rsidR="00063D33" w:rsidRDefault="00F763B7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659C33FE" w14:textId="24B4D4AE" w:rsidR="00063D33" w:rsidRDefault="00F763B7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391" w:type="dxa"/>
          </w:tcPr>
          <w:p w14:paraId="348371B7" w14:textId="77777777" w:rsidR="00063D33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8D1565" w14:paraId="077D723E" w14:textId="77777777" w:rsidTr="00B85D3E">
        <w:trPr>
          <w:trHeight w:val="629"/>
        </w:trPr>
        <w:tc>
          <w:tcPr>
            <w:tcW w:w="10308" w:type="dxa"/>
            <w:gridSpan w:val="6"/>
          </w:tcPr>
          <w:p w14:paraId="4C417DA1" w14:textId="77777777" w:rsidR="008D1565" w:rsidRPr="00D4167A" w:rsidRDefault="008D1565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AA2DE0" w14:textId="77777777" w:rsidR="00D4167A" w:rsidRPr="00F3641F" w:rsidRDefault="00D4167A" w:rsidP="00CC1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:rsidRPr="00F3641F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300AB49" w14:textId="34BE5D85" w:rsidR="00D4167A" w:rsidRPr="00F3641F" w:rsidRDefault="00CE399C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Антонюк Уляна Василівна</w:t>
            </w:r>
            <w:r w:rsidR="00D4167A"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BB7CF82" w14:textId="39924D68" w:rsidR="00D4167A" w:rsidRPr="00F3641F" w:rsidRDefault="00F3641F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доцент кафедри цивільного та господарського права і процесу</w:t>
            </w:r>
            <w:r w:rsidR="00D4167A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ІФННЮІ Національного університету «Одеська юридична академія» </w:t>
            </w:r>
          </w:p>
          <w:p w14:paraId="65A08CB6" w14:textId="77777777" w:rsidR="00D4167A" w:rsidRPr="00F3641F" w:rsidRDefault="00D4167A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5B4314D5" w14:textId="6A2472A1" w:rsidR="006A65FE" w:rsidRPr="00F3641F" w:rsidRDefault="00D4167A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Івано-Франківсь</w:t>
            </w:r>
            <w:r w:rsidR="00F3641F" w:rsidRPr="00F3641F">
              <w:rPr>
                <w:rFonts w:ascii="Times New Roman" w:hAnsi="Times New Roman" w:cs="Times New Roman"/>
                <w:sz w:val="28"/>
                <w:szCs w:val="28"/>
              </w:rPr>
              <w:t>к, вул. Максимовича, 13 каб. 215</w:t>
            </w:r>
          </w:p>
        </w:tc>
      </w:tr>
      <w:tr w:rsidR="00D4167A" w:rsidRPr="00F3641F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32282443" w14:textId="7F97E32C" w:rsidR="008B703F" w:rsidRDefault="00674F6F" w:rsidP="008B703F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«Право екологічної безпеки</w:t>
            </w:r>
            <w:r w:rsidR="00F3641F" w:rsidRPr="00F3641F">
              <w:rPr>
                <w:sz w:val="28"/>
                <w:szCs w:val="28"/>
              </w:rPr>
              <w:t xml:space="preserve">» є вибірковою компонентною дисципліною освітньої програми. Актуальність її вивчення в умовах сьогодення </w:t>
            </w:r>
            <w:r w:rsidR="00CE399C">
              <w:rPr>
                <w:sz w:val="28"/>
                <w:szCs w:val="28"/>
              </w:rPr>
              <w:t>пов’язана</w:t>
            </w:r>
            <w:r w:rsidR="00CE399C">
              <w:rPr>
                <w:lang w:val="uk-UA"/>
              </w:rPr>
              <w:t xml:space="preserve"> </w:t>
            </w:r>
            <w:r w:rsidR="00CE399C" w:rsidRPr="00CE399C">
              <w:rPr>
                <w:sz w:val="28"/>
                <w:szCs w:val="28"/>
                <w:lang w:val="uk-UA"/>
              </w:rPr>
              <w:t xml:space="preserve">із необхідністю </w:t>
            </w:r>
            <w:r>
              <w:rPr>
                <w:sz w:val="28"/>
                <w:szCs w:val="28"/>
                <w:lang w:val="uk-UA"/>
              </w:rPr>
              <w:t>забезпечення права кожного</w:t>
            </w:r>
            <w:r w:rsidR="00093385">
              <w:rPr>
                <w:sz w:val="28"/>
                <w:szCs w:val="28"/>
                <w:lang w:val="uk-UA"/>
              </w:rPr>
              <w:t xml:space="preserve"> на чисте і безпечне для життя та</w:t>
            </w:r>
            <w:r>
              <w:rPr>
                <w:sz w:val="28"/>
                <w:szCs w:val="28"/>
                <w:lang w:val="uk-UA"/>
              </w:rPr>
              <w:t xml:space="preserve"> здоров’я довкілля як основоположного конституційного екологічного права. Право екологічної безпеки як система правових норм та інших юридичних </w:t>
            </w:r>
            <w:r w:rsidR="00F91C6E">
              <w:rPr>
                <w:sz w:val="28"/>
                <w:szCs w:val="28"/>
                <w:lang w:val="uk-UA"/>
              </w:rPr>
              <w:t>засобів, спрямоване</w:t>
            </w:r>
            <w:r>
              <w:rPr>
                <w:sz w:val="28"/>
                <w:szCs w:val="28"/>
                <w:lang w:val="uk-UA"/>
              </w:rPr>
              <w:t xml:space="preserve"> на створення умов для реалізації </w:t>
            </w:r>
            <w:r w:rsidR="00F91C6E">
              <w:rPr>
                <w:sz w:val="28"/>
                <w:szCs w:val="28"/>
                <w:lang w:val="uk-UA"/>
              </w:rPr>
              <w:t>та захисту екологічних прав, регулювання відносин щодо здійснення екологічно небезпечної діяльності з метою запобігання погіршенню екологічної обстановки</w:t>
            </w:r>
            <w:r w:rsidR="008B703F">
              <w:rPr>
                <w:sz w:val="28"/>
                <w:szCs w:val="28"/>
                <w:lang w:val="uk-UA"/>
              </w:rPr>
              <w:t xml:space="preserve"> та нейтралізацію екологічних ризиків</w:t>
            </w:r>
            <w:r w:rsidR="00F91C6E">
              <w:rPr>
                <w:sz w:val="28"/>
                <w:szCs w:val="28"/>
                <w:lang w:val="uk-UA"/>
              </w:rPr>
              <w:t xml:space="preserve">, реагування </w:t>
            </w:r>
            <w:r w:rsidR="00F91C6E">
              <w:rPr>
                <w:sz w:val="28"/>
                <w:szCs w:val="28"/>
                <w:lang w:val="uk-UA"/>
              </w:rPr>
              <w:lastRenderedPageBreak/>
              <w:t>і ліквідацію наслідків надзвичайних екологічних ситуацій природного та техногенного характеру</w:t>
            </w:r>
            <w:r w:rsidR="008B703F">
              <w:rPr>
                <w:sz w:val="28"/>
                <w:szCs w:val="28"/>
                <w:lang w:val="uk-UA"/>
              </w:rPr>
              <w:t>, досягнення режиму безпечного існування населення і стану довкілля на регіональному, національному та транскордонному рівнях.</w:t>
            </w:r>
            <w:r w:rsidR="00F91C6E">
              <w:rPr>
                <w:sz w:val="28"/>
                <w:szCs w:val="28"/>
                <w:lang w:val="uk-UA"/>
              </w:rPr>
              <w:t xml:space="preserve"> </w:t>
            </w:r>
            <w:r w:rsidR="00B3025D">
              <w:rPr>
                <w:sz w:val="28"/>
                <w:szCs w:val="28"/>
                <w:lang w:val="uk-UA"/>
              </w:rPr>
              <w:t>Дана дисципліна охоплює</w:t>
            </w:r>
            <w:r w:rsidR="00CE399C" w:rsidRPr="00CE399C">
              <w:rPr>
                <w:sz w:val="28"/>
                <w:szCs w:val="28"/>
                <w:lang w:val="uk-UA"/>
              </w:rPr>
              <w:t xml:space="preserve"> вивчення</w:t>
            </w:r>
            <w:r w:rsidR="00B3025D">
              <w:rPr>
                <w:sz w:val="28"/>
                <w:szCs w:val="28"/>
                <w:lang w:val="uk-UA"/>
              </w:rPr>
              <w:t>:</w:t>
            </w:r>
            <w:r w:rsidR="00B66C5B">
              <w:rPr>
                <w:sz w:val="28"/>
                <w:szCs w:val="28"/>
                <w:lang w:val="uk-UA"/>
              </w:rPr>
              <w:t xml:space="preserve"> основних категорій</w:t>
            </w:r>
            <w:r w:rsidR="008B703F">
              <w:rPr>
                <w:sz w:val="28"/>
                <w:szCs w:val="28"/>
                <w:lang w:val="uk-UA"/>
              </w:rPr>
              <w:t xml:space="preserve"> права екологічної безпеки</w:t>
            </w:r>
            <w:r w:rsidR="00CE399C" w:rsidRPr="00CE399C">
              <w:rPr>
                <w:sz w:val="28"/>
                <w:szCs w:val="28"/>
                <w:lang w:val="uk-UA"/>
              </w:rPr>
              <w:t>, його предмету, методів, принцип</w:t>
            </w:r>
            <w:r w:rsidR="00B3025D">
              <w:rPr>
                <w:sz w:val="28"/>
                <w:szCs w:val="28"/>
                <w:lang w:val="uk-UA"/>
              </w:rPr>
              <w:t>ів, системи, функцій</w:t>
            </w:r>
            <w:r w:rsidR="00CE399C" w:rsidRPr="00CE399C">
              <w:rPr>
                <w:sz w:val="28"/>
                <w:szCs w:val="28"/>
                <w:lang w:val="uk-UA"/>
              </w:rPr>
              <w:t xml:space="preserve">; ознайомлення з </w:t>
            </w:r>
            <w:r w:rsidR="00B66C5B">
              <w:rPr>
                <w:sz w:val="28"/>
                <w:szCs w:val="28"/>
                <w:lang w:val="uk-UA"/>
              </w:rPr>
              <w:t>джерельною базою</w:t>
            </w:r>
            <w:r w:rsidR="00CE399C" w:rsidRPr="00CE399C">
              <w:rPr>
                <w:sz w:val="28"/>
                <w:szCs w:val="28"/>
                <w:lang w:val="uk-UA"/>
              </w:rPr>
              <w:t xml:space="preserve"> законодавства України</w:t>
            </w:r>
            <w:r w:rsidR="008B703F">
              <w:rPr>
                <w:sz w:val="28"/>
                <w:szCs w:val="28"/>
                <w:lang w:val="uk-UA"/>
              </w:rPr>
              <w:t xml:space="preserve"> про екологічну безпеку</w:t>
            </w:r>
            <w:r w:rsidR="00CE399C" w:rsidRPr="00CE399C">
              <w:rPr>
                <w:sz w:val="28"/>
                <w:szCs w:val="28"/>
                <w:lang w:val="uk-UA"/>
              </w:rPr>
              <w:t>;</w:t>
            </w:r>
            <w:r w:rsidR="00B3025D">
              <w:rPr>
                <w:sz w:val="28"/>
                <w:szCs w:val="28"/>
                <w:lang w:val="uk-UA"/>
              </w:rPr>
              <w:t xml:space="preserve"> </w:t>
            </w:r>
            <w:r w:rsidR="008B703F">
              <w:rPr>
                <w:sz w:val="28"/>
                <w:szCs w:val="28"/>
                <w:lang w:val="uk-UA"/>
              </w:rPr>
              <w:t>поняття і види екологічної безпеки; суб’єкти забезпечення екологічної безпеки; правові засади забезпечення екологічної безпеки; систему заходів щодо забезпечення екологічної безпеки; поняття і види екологічно небезпечної діяльності; правове регулювання поводження з відходами; правове забезпечення хімічної, радіаційної, інфекційної, біологічної, генетичної безпеки; правовий режим надзвичайних екологічних ситуацій природного та техногенного характеру;</w:t>
            </w:r>
            <w:r w:rsidR="00093385">
              <w:rPr>
                <w:sz w:val="28"/>
                <w:szCs w:val="28"/>
                <w:lang w:val="uk-UA"/>
              </w:rPr>
              <w:t xml:space="preserve"> юридичну</w:t>
            </w:r>
            <w:r w:rsidR="008B467B">
              <w:rPr>
                <w:sz w:val="28"/>
                <w:szCs w:val="28"/>
                <w:lang w:val="uk-UA"/>
              </w:rPr>
              <w:t xml:space="preserve"> відповідальність за порушення вимог екологічної безпеки;</w:t>
            </w:r>
            <w:r w:rsidR="008B703F">
              <w:rPr>
                <w:sz w:val="28"/>
                <w:szCs w:val="28"/>
                <w:lang w:val="uk-UA"/>
              </w:rPr>
              <w:t xml:space="preserve"> міжнародне співробітництво щодо забезпечення екологічної безпеки.</w:t>
            </w:r>
          </w:p>
          <w:p w14:paraId="658BE7C2" w14:textId="336DF97A" w:rsidR="006A65FE" w:rsidRPr="00F3641F" w:rsidRDefault="00CE399C" w:rsidP="000933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>Вивчення даного курсу сприятиме формуванню умінь застосовувати та практиці т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 xml:space="preserve">еоретичні знання про </w:t>
            </w:r>
            <w:r w:rsidR="008B703F">
              <w:rPr>
                <w:rFonts w:ascii="Times New Roman" w:hAnsi="Times New Roman" w:cs="Times New Roman"/>
                <w:sz w:val="28"/>
                <w:szCs w:val="28"/>
              </w:rPr>
              <w:t xml:space="preserve">правові 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03F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екологічної безпеки при здійсненні різних видів господарської та екологічно небезпечної діяльності у різних сферах, </w:t>
            </w: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 xml:space="preserve">а також набуттю навичок застосування здобутих теоретичних знань у практичній діяльності при вирішенні 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 xml:space="preserve">кейсів, </w:t>
            </w: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>спорів та конфліктних ситу</w:t>
            </w:r>
            <w:r w:rsidR="008B703F">
              <w:rPr>
                <w:rFonts w:ascii="Times New Roman" w:hAnsi="Times New Roman" w:cs="Times New Roman"/>
                <w:sz w:val="28"/>
                <w:szCs w:val="28"/>
              </w:rPr>
              <w:t>ацій,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 xml:space="preserve"> а також</w:t>
            </w:r>
            <w:r w:rsidR="008B703F">
              <w:rPr>
                <w:rFonts w:ascii="Times New Roman" w:hAnsi="Times New Roman" w:cs="Times New Roman"/>
                <w:sz w:val="28"/>
                <w:szCs w:val="28"/>
              </w:rPr>
              <w:t xml:space="preserve"> притягнення до юридичної відп</w:t>
            </w:r>
            <w:r w:rsidR="00093385">
              <w:rPr>
                <w:rFonts w:ascii="Times New Roman" w:hAnsi="Times New Roman" w:cs="Times New Roman"/>
                <w:sz w:val="28"/>
                <w:szCs w:val="28"/>
              </w:rPr>
              <w:t xml:space="preserve">овідальності за </w:t>
            </w:r>
            <w:r w:rsidR="008B703F">
              <w:rPr>
                <w:rFonts w:ascii="Times New Roman" w:hAnsi="Times New Roman" w:cs="Times New Roman"/>
                <w:sz w:val="28"/>
                <w:szCs w:val="28"/>
              </w:rPr>
              <w:t xml:space="preserve">порушення </w:t>
            </w:r>
            <w:r w:rsidR="00093385">
              <w:rPr>
                <w:rFonts w:ascii="Times New Roman" w:hAnsi="Times New Roman" w:cs="Times New Roman"/>
                <w:sz w:val="28"/>
                <w:szCs w:val="28"/>
              </w:rPr>
              <w:t xml:space="preserve">вимог і правил екологічної безпеки. </w:t>
            </w:r>
          </w:p>
        </w:tc>
      </w:tr>
      <w:tr w:rsidR="00D4167A" w:rsidRPr="00F3641F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6639A3F3" w14:textId="75A141CB" w:rsidR="00F3641F" w:rsidRPr="008B467B" w:rsidRDefault="00F3641F" w:rsidP="00F364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 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>и полягає у формуванні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розуміння та оволодіння майбутніми фахівцями у галузі права сукупністю знань з осо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>бливостей правового регулювання</w:t>
            </w:r>
            <w:r w:rsidR="008B703F">
              <w:rPr>
                <w:rFonts w:ascii="Times New Roman" w:hAnsi="Times New Roman" w:cs="Times New Roman"/>
                <w:sz w:val="28"/>
                <w:szCs w:val="28"/>
              </w:rPr>
              <w:t xml:space="preserve"> екологічної безпеки при здійсненні різних видів діяльності 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 xml:space="preserve">у різних сферах господарювання, а також </w:t>
            </w:r>
            <w:r w:rsidR="008B4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набуття </w:t>
            </w:r>
            <w:r w:rsidR="008B467B" w:rsidRPr="008B4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практичних навиків правозастосування для забезпечення належного стану захищеності довкілля від загроз виникнення надзвичайних ситуацій природ</w:t>
            </w:r>
            <w:r w:rsidR="008B4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і техногенного характеру та</w:t>
            </w:r>
            <w:r w:rsidR="008B467B" w:rsidRPr="008B4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B467B" w:rsidRPr="008B4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притягнення винних осіб до відповідальності за порушення вимог </w:t>
            </w:r>
            <w:r w:rsidR="008B4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 правил </w:t>
            </w:r>
            <w:r w:rsidR="008B467B" w:rsidRPr="008B46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екологічної безпеки.</w:t>
            </w:r>
          </w:p>
          <w:p w14:paraId="6C8BA23F" w14:textId="77777777" w:rsidR="007B7758" w:rsidRPr="002908D6" w:rsidRDefault="007B7758" w:rsidP="007B77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3DB7EC3F" w14:textId="43A9D7AE" w:rsidR="00C97C8A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сформувати комплексне уявлення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правове регулювання 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>відносин щодо забезпечення екологічної безпеки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F5050A" w14:textId="07CF19B6" w:rsidR="00B3025D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акцентувати увагу здобувачів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особливостях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25D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 xml:space="preserve"> забезпечення екологічної безпеки при здійсненні різних видів діяльності у різних сферах господарювання: поводження з відходами; забезпечення хімічної, радіаційної, біологічної, генетичної безпеки; здійснення екологічно небезпечних видів діяльності тощо;</w:t>
            </w:r>
            <w:r w:rsidR="00B30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73C1D9" w14:textId="7F0BDA9A" w:rsidR="00B3025D" w:rsidRDefault="00B3025D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>правове регулювання відносин щодо</w:t>
            </w:r>
            <w:r w:rsidR="008B467B">
              <w:rPr>
                <w:sz w:val="28"/>
                <w:szCs w:val="28"/>
              </w:rPr>
              <w:t xml:space="preserve"> </w:t>
            </w:r>
            <w:r w:rsidR="008B467B" w:rsidRPr="008B467B">
              <w:rPr>
                <w:rFonts w:ascii="Times New Roman" w:hAnsi="Times New Roman" w:cs="Times New Roman"/>
                <w:sz w:val="28"/>
                <w:szCs w:val="28"/>
              </w:rPr>
              <w:t>реагування, нейтралізації та ліквідації наслідків надзвичайних екологічних ситуацій природного та техногенного характеру</w:t>
            </w:r>
            <w:r w:rsidR="00187DE0" w:rsidRPr="008B46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247E5B" w14:textId="5CA704FB" w:rsidR="006A65FE" w:rsidRPr="007B7758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758">
              <w:rPr>
                <w:rFonts w:ascii="Times New Roman" w:hAnsi="Times New Roman" w:cs="Times New Roman"/>
                <w:sz w:val="28"/>
                <w:szCs w:val="28"/>
              </w:rPr>
              <w:t xml:space="preserve">акумулювати здобуті теоретичні знання для вирішення та розв’язання 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>кейсів/</w:t>
            </w:r>
            <w:r w:rsidRPr="007B7758">
              <w:rPr>
                <w:rFonts w:ascii="Times New Roman" w:hAnsi="Times New Roman" w:cs="Times New Roman"/>
                <w:sz w:val="28"/>
                <w:szCs w:val="28"/>
              </w:rPr>
              <w:t>спорі</w:t>
            </w:r>
            <w:r w:rsidR="00B3025D">
              <w:rPr>
                <w:rFonts w:ascii="Times New Roman" w:hAnsi="Times New Roman" w:cs="Times New Roman"/>
                <w:sz w:val="28"/>
                <w:szCs w:val="28"/>
              </w:rPr>
              <w:t xml:space="preserve">в/конфліктів, які виникають з 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 правовідносин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 xml:space="preserve"> щодо забезпечення екологічної безпеки та притягнення до відповідальності за порушення вимог і правил екологічної безпеки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67A" w:rsidRPr="00F3641F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0D70F2D" w:rsidR="00D4167A" w:rsidRPr="00F3641F" w:rsidRDefault="007B7758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D4167A" w:rsidRPr="00F3641F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38B652B9" w14:textId="4C713C80" w:rsidR="001669BA" w:rsidRDefault="002908D6" w:rsidP="001669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7B7758" w:rsidRPr="00187DE0">
              <w:rPr>
                <w:rFonts w:ascii="Times New Roman" w:hAnsi="Times New Roman" w:cs="Times New Roman"/>
                <w:sz w:val="28"/>
                <w:szCs w:val="28"/>
              </w:rPr>
              <w:t>поняття та зміст базових категорій</w:t>
            </w:r>
            <w:r w:rsidR="00C97C8A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права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 xml:space="preserve"> екологічної безпеки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B7758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 xml:space="preserve">національне та міжнародне законодавство щодо забезпечення екологічної безпеки; 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співвідношення </w:t>
            </w:r>
            <w:r w:rsidR="008B467B">
              <w:rPr>
                <w:rFonts w:ascii="Times New Roman" w:hAnsi="Times New Roman" w:cs="Times New Roman"/>
                <w:sz w:val="28"/>
                <w:szCs w:val="28"/>
              </w:rPr>
              <w:t xml:space="preserve">та взаємозв’язок права екологічної безпеки з екологічним правом; </w:t>
            </w:r>
            <w:r w:rsidR="00167E3B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поняття і види 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t>екологічної безпеки;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t>суб’єкти забезпечення екологічної безпеки; правові засади забезпечення екологічної безпеки; систему заходів щодо забезпечення екологічної безпеки; особливості забезпечення екологічної безпеки при поводженні з відходами; забезпечення хімічної безпеки; забезпечення радіаційної та інфекційної безпеки; забезпечення біологічної та генетичної безпеки; поняття і види екологічно небезпечної діяльності; правовий режим надзвичайних ситуацій природного та техногенного характеру; міжнародне та європейське співробітництво щодо забезпечення екологічної безпеки.</w:t>
            </w:r>
          </w:p>
          <w:p w14:paraId="3B56BC4B" w14:textId="2AEA1CB7" w:rsidR="006A65FE" w:rsidRPr="00F3641F" w:rsidRDefault="002908D6" w:rsidP="00093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Крім того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після закінчення курсу здобувач повинен вміти: </w:t>
            </w:r>
            <w:r w:rsidR="00063D33" w:rsidRPr="00063D33">
              <w:rPr>
                <w:rFonts w:ascii="Times New Roman" w:hAnsi="Times New Roman" w:cs="Times New Roman"/>
                <w:sz w:val="28"/>
                <w:szCs w:val="28"/>
              </w:rPr>
              <w:t xml:space="preserve">узагальнювати сучасні напрямки та 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t>тенденції правового регулювання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відносин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щодо забезпечення екологічної безпеки з огляду на міжнародні та європейські стандарти охорони довкілля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t xml:space="preserve">розрізняти види суб’єктів щодо забезпечення екологічної безпеки;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розмежовувати 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t>види екологічної безпеки за різними критеріями</w:t>
            </w:r>
            <w:r w:rsidR="00063D33" w:rsidRPr="00063D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диференціювати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CE4"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t xml:space="preserve"> щодо забезпечення екологічної безпеки за різними критеріями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E58B6">
              <w:rPr>
                <w:rFonts w:ascii="Times New Roman" w:hAnsi="Times New Roman" w:cs="Times New Roman"/>
                <w:sz w:val="28"/>
                <w:szCs w:val="28"/>
              </w:rPr>
              <w:t xml:space="preserve"> аналізувати правовий режим 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t xml:space="preserve">надзвичайних ситуацій природного та техногенного характеру;  </w:t>
            </w:r>
            <w:r w:rsidR="00167E3B" w:rsidRPr="00167E3B">
              <w:rPr>
                <w:rFonts w:ascii="Times New Roman" w:hAnsi="Times New Roman" w:cs="Times New Roman"/>
                <w:sz w:val="28"/>
                <w:szCs w:val="28"/>
              </w:rPr>
              <w:t xml:space="preserve">давати </w:t>
            </w:r>
            <w:r w:rsidR="00093385">
              <w:rPr>
                <w:rFonts w:ascii="Times New Roman" w:hAnsi="Times New Roman" w:cs="Times New Roman"/>
                <w:sz w:val="28"/>
                <w:szCs w:val="28"/>
              </w:rPr>
              <w:t>юридичну кваліфікацію порушенням правил та вимог екологічної безпеки із застосуванням відповідних видів юридичної відповідальності за такі правопорушення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7E3B" w:rsidRPr="00167E3B">
              <w:rPr>
                <w:rFonts w:ascii="Times New Roman" w:hAnsi="Times New Roman" w:cs="Times New Roman"/>
                <w:sz w:val="28"/>
                <w:szCs w:val="28"/>
              </w:rPr>
              <w:t>узагальнювати п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t xml:space="preserve">рактику застосування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E3B" w:rsidRPr="00167E3B">
              <w:rPr>
                <w:rFonts w:ascii="Times New Roman" w:hAnsi="Times New Roman" w:cs="Times New Roman"/>
                <w:sz w:val="28"/>
                <w:szCs w:val="28"/>
              </w:rPr>
              <w:t xml:space="preserve">законодавства 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t xml:space="preserve">щодо забезпечення екологічної безпеки у процесі поводження з відходами; 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застосовувати норми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екологічного, земельного, аграрного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t>, цивільного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1438">
              <w:rPr>
                <w:rFonts w:ascii="Times New Roman" w:hAnsi="Times New Roman" w:cs="Times New Roman"/>
                <w:sz w:val="28"/>
                <w:szCs w:val="28"/>
              </w:rPr>
              <w:t>законода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вства д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t xml:space="preserve">ля врегулювання </w:t>
            </w:r>
            <w:r w:rsidR="00CC1438">
              <w:rPr>
                <w:rFonts w:ascii="Times New Roman" w:hAnsi="Times New Roman" w:cs="Times New Roman"/>
                <w:sz w:val="28"/>
                <w:szCs w:val="28"/>
              </w:rPr>
              <w:t>правовідносин</w:t>
            </w:r>
            <w:r w:rsidR="001669BA">
              <w:rPr>
                <w:rFonts w:ascii="Times New Roman" w:hAnsi="Times New Roman" w:cs="Times New Roman"/>
                <w:sz w:val="28"/>
                <w:szCs w:val="28"/>
              </w:rPr>
              <w:t xml:space="preserve"> щодо забезпечення екологічної безпеки у різних сферах суспільної діяльності</w:t>
            </w:r>
            <w:r w:rsidR="00CC14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87DE0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застосовувати норми чинного законодавства </w:t>
            </w:r>
            <w:r w:rsidR="00093385">
              <w:rPr>
                <w:rFonts w:ascii="Times New Roman" w:hAnsi="Times New Roman" w:cs="Times New Roman"/>
                <w:sz w:val="28"/>
                <w:szCs w:val="28"/>
              </w:rPr>
              <w:t xml:space="preserve">про екологічну безпеку </w:t>
            </w:r>
            <w:r w:rsidR="00187DE0" w:rsidRPr="00F3641F">
              <w:rPr>
                <w:rFonts w:ascii="Times New Roman" w:hAnsi="Times New Roman" w:cs="Times New Roman"/>
                <w:sz w:val="28"/>
                <w:szCs w:val="28"/>
              </w:rPr>
              <w:t>при розв’яза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нні конкретних практичних ситуацій/кейсів</w:t>
            </w:r>
            <w:r w:rsidR="00187DE0" w:rsidRPr="00F364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обґрунтовувати, систематизувати та презентувати результати власних досліджень під час участі у студентських наукових заходах (та інших заходах, у тому числі за участю представників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природоохоронних та правоохоронних органів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>державних та місцевих органів влади і управління, громадських об’єднань тощо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66E439E8" w14:textId="77777777" w:rsidR="00D4167A" w:rsidRPr="00F3641F" w:rsidRDefault="00D4167A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F364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123E"/>
    <w:multiLevelType w:val="hybridMultilevel"/>
    <w:tmpl w:val="A0AC817E"/>
    <w:lvl w:ilvl="0" w:tplc="334C52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063D33"/>
    <w:rsid w:val="00093385"/>
    <w:rsid w:val="000A3BBC"/>
    <w:rsid w:val="001669BA"/>
    <w:rsid w:val="00167E3B"/>
    <w:rsid w:val="00187DE0"/>
    <w:rsid w:val="002908D6"/>
    <w:rsid w:val="002F3724"/>
    <w:rsid w:val="003C1128"/>
    <w:rsid w:val="00674F6F"/>
    <w:rsid w:val="006A65FE"/>
    <w:rsid w:val="007B132A"/>
    <w:rsid w:val="007B7758"/>
    <w:rsid w:val="007E6245"/>
    <w:rsid w:val="008B467B"/>
    <w:rsid w:val="008B703F"/>
    <w:rsid w:val="008D1565"/>
    <w:rsid w:val="00A6271B"/>
    <w:rsid w:val="00A71034"/>
    <w:rsid w:val="00AA5CE4"/>
    <w:rsid w:val="00B3025D"/>
    <w:rsid w:val="00B66C5B"/>
    <w:rsid w:val="00BA50F2"/>
    <w:rsid w:val="00C97C8A"/>
    <w:rsid w:val="00CC1438"/>
    <w:rsid w:val="00CE399C"/>
    <w:rsid w:val="00CE58B6"/>
    <w:rsid w:val="00D4167A"/>
    <w:rsid w:val="00DD37D9"/>
    <w:rsid w:val="00DD7D37"/>
    <w:rsid w:val="00F346EE"/>
    <w:rsid w:val="00F3641F"/>
    <w:rsid w:val="00F763B7"/>
    <w:rsid w:val="00F9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  <w:style w:type="table" w:styleId="a4">
    <w:name w:val="Table Grid"/>
    <w:basedOn w:val="a1"/>
    <w:uiPriority w:val="39"/>
    <w:rsid w:val="00F3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ычный (Интернет)"/>
    <w:basedOn w:val="a"/>
    <w:uiPriority w:val="99"/>
    <w:rsid w:val="00CE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12D9-DE00-449D-8D50-3B7C251B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4270</Words>
  <Characters>2434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dcterms:created xsi:type="dcterms:W3CDTF">2025-03-26T09:53:00Z</dcterms:created>
  <dcterms:modified xsi:type="dcterms:W3CDTF">2025-03-27T14:32:00Z</dcterms:modified>
</cp:coreProperties>
</file>