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4A48"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14:paraId="0B367D4F" w14:textId="4BC824DC" w:rsidR="000644D5" w:rsidRPr="00BA69E2" w:rsidRDefault="00BA69E2" w:rsidP="00F8742D">
      <w:pPr>
        <w:spacing w:after="0" w:line="240" w:lineRule="auto"/>
        <w:jc w:val="center"/>
        <w:rPr>
          <w:rFonts w:ascii="Times New Roman" w:hAnsi="Times New Roman" w:cs="Times New Roman"/>
          <w:b/>
          <w:sz w:val="28"/>
          <w:szCs w:val="28"/>
        </w:rPr>
      </w:pPr>
      <w:r w:rsidRPr="00BA69E2">
        <w:rPr>
          <w:rFonts w:ascii="Times New Roman" w:hAnsi="Times New Roman" w:cs="Times New Roman"/>
          <w:b/>
          <w:sz w:val="28"/>
          <w:szCs w:val="28"/>
        </w:rPr>
        <w:t>«</w:t>
      </w:r>
      <w:r w:rsidR="00F8742D">
        <w:rPr>
          <w:rFonts w:ascii="Times New Roman" w:hAnsi="Times New Roman" w:cs="Times New Roman"/>
          <w:b/>
          <w:sz w:val="28"/>
          <w:szCs w:val="28"/>
        </w:rPr>
        <w:t>ОСНОВИ СЛІДЧОЇ ДІЯЛЬНОСТІ</w:t>
      </w:r>
      <w:r w:rsidRPr="00BA69E2">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61"/>
        <w:gridCol w:w="1493"/>
        <w:gridCol w:w="1443"/>
        <w:gridCol w:w="1499"/>
        <w:gridCol w:w="1391"/>
      </w:tblGrid>
      <w:tr w:rsidR="007E6245" w14:paraId="63901DFA" w14:textId="77777777" w:rsidTr="006A65FE">
        <w:trPr>
          <w:trHeight w:val="612"/>
        </w:trPr>
        <w:tc>
          <w:tcPr>
            <w:tcW w:w="2421" w:type="dxa"/>
          </w:tcPr>
          <w:p w14:paraId="4471E84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14:paraId="60EA09C5"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14:paraId="0D85BA10"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14:paraId="5E3FB614"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14:paraId="4D38F4E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14:paraId="1D193C3C"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14:paraId="6C28813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14:paraId="68F3113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14:paraId="4FE9831D"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14:paraId="4C57D896"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14:paraId="611CBF4B"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14:paraId="26E3810E"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14:paraId="00DAC3A4"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14:paraId="08F1DE46" w14:textId="77777777" w:rsidTr="006A65FE">
        <w:trPr>
          <w:trHeight w:val="1344"/>
        </w:trPr>
        <w:tc>
          <w:tcPr>
            <w:tcW w:w="2421" w:type="dxa"/>
            <w:vMerge w:val="restart"/>
          </w:tcPr>
          <w:p w14:paraId="2ADAF0E4" w14:textId="77777777"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14:paraId="2C581D71"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14:paraId="4B6E3DE2"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14:paraId="5F48EC07"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14:paraId="0B93BC16"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14:paraId="3DA34EEA" w14:textId="17B3E9EE" w:rsidR="007E6245" w:rsidRDefault="00F8742D"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3D174651" w14:textId="51B04BE8" w:rsidR="007E6245" w:rsidRDefault="00104F78"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91" w:type="dxa"/>
          </w:tcPr>
          <w:p w14:paraId="40F16D10" w14:textId="7761205E"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D2298E" w14:paraId="47BA2556" w14:textId="77777777" w:rsidTr="006A65FE">
        <w:trPr>
          <w:trHeight w:val="1872"/>
        </w:trPr>
        <w:tc>
          <w:tcPr>
            <w:tcW w:w="2421" w:type="dxa"/>
            <w:vMerge/>
          </w:tcPr>
          <w:p w14:paraId="41E8E6A4" w14:textId="77777777" w:rsidR="00D2298E" w:rsidRDefault="00D2298E" w:rsidP="00D2298E">
            <w:pPr>
              <w:spacing w:after="0" w:line="240" w:lineRule="auto"/>
              <w:jc w:val="center"/>
              <w:rPr>
                <w:rFonts w:ascii="Times New Roman" w:hAnsi="Times New Roman" w:cs="Times New Roman"/>
                <w:sz w:val="28"/>
                <w:szCs w:val="28"/>
              </w:rPr>
            </w:pPr>
          </w:p>
        </w:tc>
        <w:tc>
          <w:tcPr>
            <w:tcW w:w="2061" w:type="dxa"/>
            <w:vMerge/>
          </w:tcPr>
          <w:p w14:paraId="1EE4F8CC" w14:textId="77777777" w:rsidR="00D2298E" w:rsidRDefault="00D2298E" w:rsidP="00D2298E">
            <w:pPr>
              <w:spacing w:after="0" w:line="240" w:lineRule="auto"/>
              <w:jc w:val="center"/>
              <w:rPr>
                <w:rFonts w:ascii="Times New Roman" w:hAnsi="Times New Roman" w:cs="Times New Roman"/>
                <w:sz w:val="28"/>
                <w:szCs w:val="28"/>
              </w:rPr>
            </w:pPr>
          </w:p>
        </w:tc>
        <w:tc>
          <w:tcPr>
            <w:tcW w:w="1493" w:type="dxa"/>
          </w:tcPr>
          <w:p w14:paraId="51296E12" w14:textId="77777777" w:rsidR="00D2298E" w:rsidRDefault="00D2298E" w:rsidP="00D2298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14:paraId="3D7078B6" w14:textId="0329AB84" w:rsidR="00D2298E" w:rsidRDefault="00D2298E" w:rsidP="00D229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1ED3C598" w14:textId="70A59CE6" w:rsidR="00D2298E" w:rsidRDefault="00D2298E" w:rsidP="00D229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91" w:type="dxa"/>
          </w:tcPr>
          <w:p w14:paraId="3D502C24" w14:textId="1C811B5F" w:rsidR="00D2298E" w:rsidRDefault="00D2298E" w:rsidP="00D2298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14:paraId="4B37404A" w14:textId="77777777" w:rsidR="007E6245" w:rsidRDefault="007E6245" w:rsidP="007E6245">
      <w:pPr>
        <w:spacing w:after="0" w:line="240" w:lineRule="auto"/>
        <w:jc w:val="center"/>
        <w:rPr>
          <w:rFonts w:ascii="Times New Roman" w:hAnsi="Times New Roman" w:cs="Times New Roman"/>
          <w:sz w:val="28"/>
          <w:szCs w:val="28"/>
        </w:rPr>
      </w:pPr>
    </w:p>
    <w:p w14:paraId="21AA2DE0" w14:textId="77777777"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6240"/>
      </w:tblGrid>
      <w:tr w:rsidR="00D4167A" w14:paraId="37830CBE" w14:textId="77777777" w:rsidTr="00D4167A">
        <w:trPr>
          <w:trHeight w:val="672"/>
        </w:trPr>
        <w:tc>
          <w:tcPr>
            <w:tcW w:w="4075" w:type="dxa"/>
          </w:tcPr>
          <w:p w14:paraId="18AEBFCC"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14:paraId="06D5513F" w14:textId="77777777" w:rsidR="00D2298E" w:rsidRPr="00D4167A" w:rsidRDefault="00D2298E" w:rsidP="00D2298E">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Піцик</w:t>
            </w:r>
            <w:proofErr w:type="spellEnd"/>
            <w:r>
              <w:rPr>
                <w:rFonts w:ascii="Times New Roman" w:hAnsi="Times New Roman" w:cs="Times New Roman"/>
                <w:b/>
                <w:sz w:val="28"/>
                <w:szCs w:val="28"/>
              </w:rPr>
              <w:t xml:space="preserve"> Христина Зіновіївна</w:t>
            </w:r>
            <w:r w:rsidRPr="00D4167A">
              <w:rPr>
                <w:rFonts w:ascii="Times New Roman" w:hAnsi="Times New Roman" w:cs="Times New Roman"/>
                <w:b/>
                <w:sz w:val="28"/>
                <w:szCs w:val="28"/>
              </w:rPr>
              <w:t xml:space="preserve">, </w:t>
            </w:r>
          </w:p>
          <w:p w14:paraId="409AA24C" w14:textId="77777777" w:rsidR="00D2298E" w:rsidRPr="00D4167A" w:rsidRDefault="00D2298E" w:rsidP="00D2298E">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доцент кафедри кримінального процесу та криміналістики ІФННЮІ Національного університету «Одеська юридична академія» </w:t>
            </w:r>
          </w:p>
          <w:p w14:paraId="0751113C" w14:textId="77777777" w:rsidR="00D2298E" w:rsidRPr="00D4167A" w:rsidRDefault="00D2298E" w:rsidP="00D2298E">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кандидат юридичних наук, доцент</w:t>
            </w:r>
          </w:p>
          <w:p w14:paraId="5B4314D5" w14:textId="4C0ED32F" w:rsidR="006A65FE" w:rsidRDefault="00D2298E" w:rsidP="00D2298E">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208</w:t>
            </w:r>
          </w:p>
        </w:tc>
      </w:tr>
      <w:tr w:rsidR="00D4167A" w14:paraId="4346E674" w14:textId="77777777" w:rsidTr="00D4167A">
        <w:trPr>
          <w:trHeight w:val="648"/>
        </w:trPr>
        <w:tc>
          <w:tcPr>
            <w:tcW w:w="4075" w:type="dxa"/>
          </w:tcPr>
          <w:p w14:paraId="398C94F0"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14:paraId="6F3BC1A1" w14:textId="125DBF24" w:rsidR="00F8742D" w:rsidRPr="00F8742D" w:rsidRDefault="00F8742D" w:rsidP="00D2298E">
            <w:pPr>
              <w:spacing w:after="0" w:line="240" w:lineRule="auto"/>
              <w:ind w:firstLine="709"/>
              <w:jc w:val="both"/>
              <w:rPr>
                <w:rFonts w:ascii="Times New Roman" w:hAnsi="Times New Roman" w:cs="Times New Roman"/>
                <w:sz w:val="28"/>
                <w:szCs w:val="28"/>
              </w:rPr>
            </w:pPr>
            <w:r w:rsidRPr="00F8742D">
              <w:rPr>
                <w:rFonts w:ascii="Times New Roman" w:hAnsi="Times New Roman" w:cs="Times New Roman"/>
                <w:sz w:val="28"/>
                <w:szCs w:val="28"/>
              </w:rPr>
              <w:t>Предмет «Основи слідчої діяльності» належить до вибіркових навчальних дисциплін, які забезпечують професійну підготовку висококваліфікованих спеціалістів для роботи у сфері боротьби зі злочинністю та здійснення п</w:t>
            </w:r>
            <w:r>
              <w:rPr>
                <w:rFonts w:ascii="Times New Roman" w:hAnsi="Times New Roman" w:cs="Times New Roman"/>
                <w:sz w:val="28"/>
                <w:szCs w:val="28"/>
              </w:rPr>
              <w:t>равосуддя у кримінальних провадженнях</w:t>
            </w:r>
            <w:r w:rsidRPr="00F8742D">
              <w:rPr>
                <w:rFonts w:ascii="Times New Roman" w:hAnsi="Times New Roman" w:cs="Times New Roman"/>
                <w:sz w:val="28"/>
                <w:szCs w:val="28"/>
              </w:rPr>
              <w:t xml:space="preserve">. </w:t>
            </w:r>
          </w:p>
          <w:p w14:paraId="62802A6F" w14:textId="42A66AF9" w:rsidR="00F8742D" w:rsidRPr="00F8742D" w:rsidRDefault="00F8742D" w:rsidP="00D2298E">
            <w:pPr>
              <w:spacing w:after="0" w:line="240" w:lineRule="auto"/>
              <w:ind w:firstLine="709"/>
              <w:jc w:val="both"/>
              <w:rPr>
                <w:rFonts w:ascii="Times New Roman" w:hAnsi="Times New Roman" w:cs="Times New Roman"/>
                <w:sz w:val="28"/>
                <w:szCs w:val="28"/>
              </w:rPr>
            </w:pPr>
            <w:r w:rsidRPr="00F8742D">
              <w:rPr>
                <w:rFonts w:ascii="Times New Roman" w:hAnsi="Times New Roman" w:cs="Times New Roman"/>
                <w:sz w:val="28"/>
                <w:szCs w:val="28"/>
              </w:rPr>
              <w:t>«Основи слідчої діяльності» як навчальна дисципліна вивчається студентами денної форми навчання, підготовка яких здійснюється за навчальними планами слідчо-прокурорської спеціалізації.</w:t>
            </w:r>
          </w:p>
          <w:p w14:paraId="69E8C25B" w14:textId="74306D35" w:rsidR="00F8742D" w:rsidRPr="00F8742D" w:rsidRDefault="00F8742D" w:rsidP="00D2298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Навчальна дисципліна «Основи слідчої діяльності»</w:t>
            </w:r>
            <w:r w:rsidRPr="00F8742D">
              <w:rPr>
                <w:rFonts w:ascii="Times New Roman" w:hAnsi="Times New Roman" w:cs="Times New Roman"/>
                <w:color w:val="000000"/>
                <w:sz w:val="28"/>
                <w:szCs w:val="28"/>
              </w:rPr>
              <w:t xml:space="preserve"> є складовою загальної системи спеціальних навчальних дисциплін, що формують фахівців у галузі слідчої діяльності. Предмет навчальної дисципліни пов’язаний із основними </w:t>
            </w:r>
            <w:r w:rsidRPr="00F8742D">
              <w:rPr>
                <w:rFonts w:ascii="Times New Roman" w:hAnsi="Times New Roman" w:cs="Times New Roman"/>
                <w:color w:val="000000"/>
                <w:sz w:val="28"/>
                <w:szCs w:val="28"/>
              </w:rPr>
              <w:lastRenderedPageBreak/>
              <w:t>положеннями таких навчальних дисциплін, як теорія управління, адміністративне право, кримінальний процес, кримінальне право та криміналістика, кримінологія, що відображено при підборі відповідного навчально-методичного матеріалу.</w:t>
            </w:r>
          </w:p>
          <w:p w14:paraId="21751BB1" w14:textId="77777777" w:rsidR="00F8742D" w:rsidRPr="00F8742D" w:rsidRDefault="00F8742D" w:rsidP="00D2298E">
            <w:pPr>
              <w:spacing w:after="0" w:line="240" w:lineRule="auto"/>
              <w:ind w:firstLine="709"/>
              <w:jc w:val="both"/>
              <w:rPr>
                <w:rFonts w:ascii="Times New Roman" w:hAnsi="Times New Roman" w:cs="Times New Roman"/>
                <w:sz w:val="28"/>
                <w:szCs w:val="28"/>
              </w:rPr>
            </w:pPr>
            <w:r w:rsidRPr="00F8742D">
              <w:rPr>
                <w:rFonts w:ascii="Times New Roman" w:hAnsi="Times New Roman" w:cs="Times New Roman"/>
                <w:b/>
                <w:sz w:val="28"/>
                <w:szCs w:val="28"/>
              </w:rPr>
              <w:t xml:space="preserve">Предметом вивчення основ слідчої діяльності </w:t>
            </w:r>
            <w:r w:rsidRPr="00F8742D">
              <w:rPr>
                <w:rFonts w:ascii="Times New Roman" w:hAnsi="Times New Roman" w:cs="Times New Roman"/>
                <w:sz w:val="28"/>
                <w:szCs w:val="28"/>
              </w:rPr>
              <w:t>є</w:t>
            </w:r>
            <w:r w:rsidRPr="00F8742D">
              <w:rPr>
                <w:rFonts w:ascii="Times New Roman" w:hAnsi="Times New Roman" w:cs="Times New Roman"/>
                <w:b/>
                <w:sz w:val="28"/>
                <w:szCs w:val="28"/>
              </w:rPr>
              <w:t xml:space="preserve"> </w:t>
            </w:r>
            <w:r w:rsidRPr="00F8742D">
              <w:rPr>
                <w:rFonts w:ascii="Times New Roman" w:hAnsi="Times New Roman" w:cs="Times New Roman"/>
                <w:sz w:val="28"/>
                <w:szCs w:val="28"/>
              </w:rPr>
              <w:t>сукупність правових норм, які регулюють суспільні відносини у сфері кримінального судочинства, гарантування і захист процесуальних прав громадян, наукові розробки з даної проблеми, кримінально-</w:t>
            </w:r>
            <w:proofErr w:type="spellStart"/>
            <w:r w:rsidRPr="00F8742D">
              <w:rPr>
                <w:rFonts w:ascii="Times New Roman" w:hAnsi="Times New Roman" w:cs="Times New Roman"/>
                <w:sz w:val="28"/>
                <w:szCs w:val="28"/>
              </w:rPr>
              <w:t>процесальне</w:t>
            </w:r>
            <w:proofErr w:type="spellEnd"/>
            <w:r w:rsidRPr="00F8742D">
              <w:rPr>
                <w:rFonts w:ascii="Times New Roman" w:hAnsi="Times New Roman" w:cs="Times New Roman"/>
                <w:sz w:val="28"/>
                <w:szCs w:val="28"/>
              </w:rPr>
              <w:t xml:space="preserve"> законодавство та правозастосовна практика, нормативно-правові акти, які регулюють окремі аспекти слідчої діяльності.</w:t>
            </w:r>
          </w:p>
          <w:p w14:paraId="24B407BB" w14:textId="77777777" w:rsidR="00F8742D" w:rsidRPr="00F8742D" w:rsidRDefault="00F8742D" w:rsidP="00D2298E">
            <w:pPr>
              <w:shd w:val="clear" w:color="auto" w:fill="FFFFFF"/>
              <w:spacing w:after="0" w:line="240" w:lineRule="auto"/>
              <w:ind w:firstLine="709"/>
              <w:jc w:val="both"/>
              <w:rPr>
                <w:rFonts w:ascii="Times New Roman" w:hAnsi="Times New Roman" w:cs="Times New Roman"/>
                <w:color w:val="000000"/>
                <w:sz w:val="28"/>
                <w:szCs w:val="28"/>
              </w:rPr>
            </w:pPr>
            <w:r w:rsidRPr="00F8742D">
              <w:rPr>
                <w:rFonts w:ascii="Times New Roman" w:hAnsi="Times New Roman" w:cs="Times New Roman"/>
                <w:color w:val="000000"/>
                <w:sz w:val="28"/>
                <w:szCs w:val="28"/>
              </w:rPr>
              <w:t>Змістовною стороною предмета вивчення є управлінські і правові аспекти діяльності органів досудового розслідування.</w:t>
            </w:r>
          </w:p>
          <w:p w14:paraId="658BE7C2" w14:textId="12D3FD2B" w:rsidR="006A65FE" w:rsidRPr="00F8742D" w:rsidRDefault="00F8742D" w:rsidP="00D2298E">
            <w:pPr>
              <w:shd w:val="clear" w:color="auto" w:fill="FFFFFF"/>
              <w:spacing w:after="0" w:line="240" w:lineRule="auto"/>
              <w:ind w:firstLine="709"/>
              <w:jc w:val="both"/>
              <w:rPr>
                <w:rFonts w:ascii="Times New Roman" w:hAnsi="Times New Roman" w:cs="Times New Roman"/>
                <w:color w:val="000000"/>
                <w:sz w:val="28"/>
                <w:szCs w:val="28"/>
              </w:rPr>
            </w:pPr>
            <w:r w:rsidRPr="00F8742D">
              <w:rPr>
                <w:rFonts w:ascii="Times New Roman" w:hAnsi="Times New Roman" w:cs="Times New Roman"/>
                <w:color w:val="000000"/>
                <w:sz w:val="28"/>
                <w:szCs w:val="28"/>
              </w:rPr>
              <w:t>Вивчаючи організацію роботи слідчих підрозділів, необхідно з’ясувати важливі методологічні проблеми, що існують у правозастосовній практиці діяльності слідчих підрозділів, без вирішення яких досить складно правильно зрозуміти не лише змістовну сторону основних елементів (понять, термінів, напрямів, мету, завдання, функції, принципи структурної побудови і діяльності, штатів та ін.) організації роботи слідчих підрозділів, але й у цілому роль і сутність організації досу</w:t>
            </w:r>
            <w:r>
              <w:rPr>
                <w:rFonts w:ascii="Times New Roman" w:hAnsi="Times New Roman" w:cs="Times New Roman"/>
                <w:color w:val="000000"/>
                <w:sz w:val="28"/>
                <w:szCs w:val="28"/>
              </w:rPr>
              <w:t>дового розслідування в Україні.</w:t>
            </w:r>
          </w:p>
        </w:tc>
      </w:tr>
      <w:tr w:rsidR="00D4167A" w14:paraId="17104885" w14:textId="77777777" w:rsidTr="00D4167A">
        <w:trPr>
          <w:trHeight w:val="504"/>
        </w:trPr>
        <w:tc>
          <w:tcPr>
            <w:tcW w:w="4075" w:type="dxa"/>
          </w:tcPr>
          <w:p w14:paraId="1203B5FA"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14:paraId="54247E5B" w14:textId="390BB9EF" w:rsidR="006A65FE" w:rsidRPr="00F8742D" w:rsidRDefault="00F8742D" w:rsidP="00D2298E">
            <w:pPr>
              <w:pStyle w:val="a4"/>
              <w:spacing w:after="0"/>
              <w:ind w:left="0" w:firstLine="709"/>
              <w:jc w:val="both"/>
              <w:rPr>
                <w:sz w:val="28"/>
                <w:szCs w:val="28"/>
              </w:rPr>
            </w:pPr>
            <w:r w:rsidRPr="00F8742D">
              <w:rPr>
                <w:b/>
                <w:iCs/>
                <w:sz w:val="28"/>
                <w:szCs w:val="28"/>
              </w:rPr>
              <w:t>Метою</w:t>
            </w:r>
            <w:r w:rsidRPr="00F8742D">
              <w:rPr>
                <w:iCs/>
                <w:sz w:val="28"/>
                <w:szCs w:val="28"/>
              </w:rPr>
              <w:t xml:space="preserve"> викладання дисципліни</w:t>
            </w:r>
            <w:r w:rsidRPr="00F8742D">
              <w:rPr>
                <w:bCs/>
                <w:sz w:val="28"/>
                <w:szCs w:val="28"/>
              </w:rPr>
              <w:t xml:space="preserve"> </w:t>
            </w:r>
            <w:r w:rsidRPr="00F8742D">
              <w:rPr>
                <w:sz w:val="28"/>
                <w:szCs w:val="28"/>
              </w:rPr>
              <w:t>«Основи слідчої діяльності» полягає у набутті студентами необхідних знань у сфері слідчої діяльності відповідних правоохоронних органів України і практичних навичок щодо їх застосування. Її призначення – надати майбутнім фахівцям необхідні знання про те, як побудована та діє система органів досудового розслідування. Іншими словами, мова йде про поняття та сутність слідчої діяльності, історію становлення та розвитку органів досудового розслідування України, структуру, завдання та функції органів досудового розслідування, організацію їх діяльності, взаємодію слідчих зі співробітниками інших підрозділів, етичні та психологічні аспекти діяльності слідчого тощо.</w:t>
            </w:r>
          </w:p>
        </w:tc>
      </w:tr>
      <w:tr w:rsidR="00D4167A" w14:paraId="60AFB94C" w14:textId="77777777" w:rsidTr="00D4167A">
        <w:trPr>
          <w:trHeight w:val="300"/>
        </w:trPr>
        <w:tc>
          <w:tcPr>
            <w:tcW w:w="4075" w:type="dxa"/>
          </w:tcPr>
          <w:p w14:paraId="66BAD986" w14:textId="77777777"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Мова викладання</w:t>
            </w:r>
          </w:p>
        </w:tc>
        <w:tc>
          <w:tcPr>
            <w:tcW w:w="6240" w:type="dxa"/>
          </w:tcPr>
          <w:p w14:paraId="2937E743" w14:textId="77777777"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14:paraId="09824D82" w14:textId="77777777" w:rsidTr="00D4167A">
        <w:trPr>
          <w:trHeight w:val="432"/>
        </w:trPr>
        <w:tc>
          <w:tcPr>
            <w:tcW w:w="4075" w:type="dxa"/>
          </w:tcPr>
          <w:p w14:paraId="50648F25"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240" w:type="dxa"/>
          </w:tcPr>
          <w:p w14:paraId="3B56BC4B" w14:textId="4FB1441D" w:rsidR="006A65FE" w:rsidRPr="00F8742D" w:rsidRDefault="00F8742D" w:rsidP="00D2298E">
            <w:pPr>
              <w:spacing w:after="0" w:line="240" w:lineRule="auto"/>
              <w:ind w:firstLine="720"/>
              <w:jc w:val="both"/>
              <w:rPr>
                <w:rFonts w:ascii="Times New Roman" w:hAnsi="Times New Roman" w:cs="Times New Roman"/>
                <w:sz w:val="28"/>
                <w:szCs w:val="28"/>
              </w:rPr>
            </w:pPr>
            <w:bookmarkStart w:id="0" w:name="_GoBack"/>
            <w:r w:rsidRPr="00F8742D">
              <w:rPr>
                <w:rFonts w:ascii="Times New Roman" w:hAnsi="Times New Roman" w:cs="Times New Roman"/>
                <w:sz w:val="28"/>
                <w:szCs w:val="28"/>
              </w:rPr>
              <w:t xml:space="preserve">У результаті вивчення навчальної дисципліни «Основи слідчої діяльності» </w:t>
            </w:r>
            <w:r w:rsidRPr="00F8742D">
              <w:rPr>
                <w:rFonts w:ascii="Times New Roman" w:hAnsi="Times New Roman" w:cs="Times New Roman"/>
                <w:bCs/>
                <w:sz w:val="28"/>
                <w:szCs w:val="28"/>
              </w:rPr>
              <w:t xml:space="preserve">студент повинен </w:t>
            </w:r>
            <w:r w:rsidRPr="00F8742D">
              <w:rPr>
                <w:rFonts w:ascii="Times New Roman" w:hAnsi="Times New Roman" w:cs="Times New Roman"/>
                <w:b/>
                <w:sz w:val="28"/>
                <w:szCs w:val="28"/>
              </w:rPr>
              <w:t>знати</w:t>
            </w:r>
            <w:r w:rsidRPr="00F8742D">
              <w:rPr>
                <w:rFonts w:ascii="Times New Roman" w:hAnsi="Times New Roman" w:cs="Times New Roman"/>
                <w:bCs/>
                <w:sz w:val="28"/>
                <w:szCs w:val="28"/>
              </w:rPr>
              <w:t>:</w:t>
            </w:r>
            <w:r>
              <w:rPr>
                <w:rFonts w:ascii="Times New Roman" w:hAnsi="Times New Roman" w:cs="Times New Roman"/>
                <w:bCs/>
                <w:sz w:val="28"/>
                <w:szCs w:val="28"/>
              </w:rPr>
              <w:t xml:space="preserve"> </w:t>
            </w:r>
            <w:r w:rsidRPr="00F8742D">
              <w:rPr>
                <w:rFonts w:ascii="Times New Roman" w:hAnsi="Times New Roman" w:cs="Times New Roman"/>
                <w:sz w:val="28"/>
                <w:szCs w:val="28"/>
              </w:rPr>
              <w:t xml:space="preserve">зміст кримінально-процесуального законодавства України, рішень органів вищої державної влади та управління з питань законності та правопорядку, </w:t>
            </w:r>
            <w:r>
              <w:rPr>
                <w:rFonts w:ascii="Times New Roman" w:hAnsi="Times New Roman" w:cs="Times New Roman"/>
                <w:sz w:val="28"/>
                <w:szCs w:val="28"/>
              </w:rPr>
              <w:t>рішень Верховного Суду</w:t>
            </w:r>
            <w:r w:rsidRPr="00F8742D">
              <w:rPr>
                <w:rFonts w:ascii="Times New Roman" w:hAnsi="Times New Roman" w:cs="Times New Roman"/>
                <w:sz w:val="28"/>
                <w:szCs w:val="28"/>
              </w:rPr>
              <w:t xml:space="preserve"> і наказів Генерального прокурора</w:t>
            </w:r>
            <w:r w:rsidR="00104F78">
              <w:rPr>
                <w:rFonts w:ascii="Times New Roman" w:hAnsi="Times New Roman" w:cs="Times New Roman"/>
                <w:sz w:val="28"/>
                <w:szCs w:val="28"/>
              </w:rPr>
              <w:t>, ОВС, органів безпеки</w:t>
            </w:r>
            <w:r>
              <w:rPr>
                <w:rFonts w:ascii="Times New Roman" w:hAnsi="Times New Roman" w:cs="Times New Roman"/>
                <w:sz w:val="28"/>
                <w:szCs w:val="28"/>
              </w:rPr>
              <w:t>, НАБУ, ДБР, БЕБ</w:t>
            </w:r>
            <w:r w:rsidRPr="00F8742D">
              <w:rPr>
                <w:rFonts w:ascii="Times New Roman" w:hAnsi="Times New Roman" w:cs="Times New Roman"/>
                <w:sz w:val="28"/>
                <w:szCs w:val="28"/>
              </w:rPr>
              <w:t xml:space="preserve"> з питань організації слідчої діяльності; основні проблеми </w:t>
            </w:r>
            <w:r w:rsidR="00104F78">
              <w:rPr>
                <w:rFonts w:ascii="Times New Roman" w:hAnsi="Times New Roman" w:cs="Times New Roman"/>
                <w:sz w:val="28"/>
                <w:szCs w:val="28"/>
              </w:rPr>
              <w:t>управлінської та правової ор</w:t>
            </w:r>
            <w:r w:rsidRPr="00F8742D">
              <w:rPr>
                <w:rFonts w:ascii="Times New Roman" w:hAnsi="Times New Roman" w:cs="Times New Roman"/>
                <w:sz w:val="28"/>
                <w:szCs w:val="28"/>
              </w:rPr>
              <w:t>г</w:t>
            </w:r>
            <w:r>
              <w:rPr>
                <w:rFonts w:ascii="Times New Roman" w:hAnsi="Times New Roman" w:cs="Times New Roman"/>
                <w:sz w:val="28"/>
                <w:szCs w:val="28"/>
              </w:rPr>
              <w:t>а</w:t>
            </w:r>
            <w:r w:rsidRPr="00F8742D">
              <w:rPr>
                <w:rFonts w:ascii="Times New Roman" w:hAnsi="Times New Roman" w:cs="Times New Roman"/>
                <w:sz w:val="28"/>
                <w:szCs w:val="28"/>
              </w:rPr>
              <w:t>нізації діяльності слідчих органів та напрямки їх вирішення; особливості організації слідчої діяльності в Україні; особливості використання слідчими спеціальних знань у кримінальному провадженні; види та форми взаємодії слідчого з оперативними та іншими підрозділами і правоохоронними органами загалом; етичні та психологічні аспекти діяльності слідчого.</w:t>
            </w:r>
            <w:bookmarkEnd w:id="0"/>
          </w:p>
        </w:tc>
      </w:tr>
    </w:tbl>
    <w:p w14:paraId="66E439E8" w14:textId="77777777" w:rsidR="00D4167A" w:rsidRPr="007E6245" w:rsidRDefault="00D4167A" w:rsidP="00BA69E2">
      <w:pPr>
        <w:spacing w:after="0" w:line="240" w:lineRule="auto"/>
        <w:jc w:val="center"/>
        <w:rPr>
          <w:rFonts w:ascii="Times New Roman" w:hAnsi="Times New Roman" w:cs="Times New Roman"/>
          <w:sz w:val="28"/>
          <w:szCs w:val="28"/>
        </w:rPr>
      </w:pPr>
    </w:p>
    <w:sectPr w:rsidR="00D4167A" w:rsidRPr="007E62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9E7712"/>
    <w:multiLevelType w:val="hybridMultilevel"/>
    <w:tmpl w:val="17AA54B6"/>
    <w:lvl w:ilvl="0" w:tplc="040C8E1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45"/>
    <w:rsid w:val="00104F78"/>
    <w:rsid w:val="002908D6"/>
    <w:rsid w:val="002F3724"/>
    <w:rsid w:val="006A65FE"/>
    <w:rsid w:val="007E6245"/>
    <w:rsid w:val="00A6271B"/>
    <w:rsid w:val="00A71034"/>
    <w:rsid w:val="00BA69E2"/>
    <w:rsid w:val="00D2298E"/>
    <w:rsid w:val="00D4167A"/>
    <w:rsid w:val="00DD7D37"/>
    <w:rsid w:val="00F346EE"/>
    <w:rsid w:val="00F874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0A2"/>
  <w15:chartTrackingRefBased/>
  <w15:docId w15:val="{2DE2C0B5-6F6B-4D2F-B2FE-9477B0A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 w:type="paragraph" w:styleId="2">
    <w:name w:val="Body Text Indent 2"/>
    <w:basedOn w:val="a"/>
    <w:link w:val="20"/>
    <w:rsid w:val="00BA69E2"/>
    <w:pPr>
      <w:spacing w:after="0" w:line="240" w:lineRule="auto"/>
      <w:ind w:firstLine="317"/>
      <w:jc w:val="center"/>
    </w:pPr>
    <w:rPr>
      <w:rFonts w:ascii="Arial" w:eastAsia="Times New Roman" w:hAnsi="Arial" w:cs="Times New Roman"/>
      <w:i/>
      <w:sz w:val="28"/>
      <w:szCs w:val="20"/>
      <w:lang w:eastAsia="ru-RU"/>
    </w:rPr>
  </w:style>
  <w:style w:type="character" w:customStyle="1" w:styleId="20">
    <w:name w:val="Основной текст с отступом 2 Знак"/>
    <w:basedOn w:val="a0"/>
    <w:link w:val="2"/>
    <w:rsid w:val="00BA69E2"/>
    <w:rPr>
      <w:rFonts w:ascii="Arial" w:eastAsia="Times New Roman" w:hAnsi="Arial" w:cs="Times New Roman"/>
      <w:i/>
      <w:sz w:val="28"/>
      <w:szCs w:val="20"/>
      <w:lang w:eastAsia="ru-RU"/>
    </w:rPr>
  </w:style>
  <w:style w:type="paragraph" w:customStyle="1" w:styleId="1">
    <w:name w:val="Абзац списка1"/>
    <w:basedOn w:val="a"/>
    <w:rsid w:val="00BA69E2"/>
    <w:pPr>
      <w:spacing w:after="200" w:line="276" w:lineRule="auto"/>
      <w:ind w:left="720"/>
    </w:pPr>
    <w:rPr>
      <w:rFonts w:ascii="Calibri" w:eastAsia="Times New Roman" w:hAnsi="Calibri" w:cs="Calibri"/>
      <w:lang w:eastAsia="uk-UA"/>
    </w:rPr>
  </w:style>
  <w:style w:type="paragraph" w:styleId="a4">
    <w:name w:val="Body Text Indent"/>
    <w:basedOn w:val="a"/>
    <w:link w:val="a5"/>
    <w:rsid w:val="00F8742D"/>
    <w:pPr>
      <w:spacing w:after="120" w:line="240" w:lineRule="auto"/>
      <w:ind w:left="283"/>
    </w:pPr>
    <w:rPr>
      <w:rFonts w:ascii="Times New Roman" w:eastAsia="Times New Roman" w:hAnsi="Times New Roman" w:cs="Times New Roman"/>
      <w:sz w:val="20"/>
      <w:szCs w:val="20"/>
      <w:lang w:eastAsia="uk-UA"/>
    </w:rPr>
  </w:style>
  <w:style w:type="character" w:customStyle="1" w:styleId="a5">
    <w:name w:val="Основной текст с отступом Знак"/>
    <w:basedOn w:val="a0"/>
    <w:link w:val="a4"/>
    <w:rsid w:val="00F8742D"/>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4357-B660-49E7-8496-05426133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2700</Words>
  <Characters>1539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2025-03-26T09:53:00Z</dcterms:created>
  <dcterms:modified xsi:type="dcterms:W3CDTF">2025-03-28T07:21:00Z</dcterms:modified>
</cp:coreProperties>
</file>